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rPr>
          <w:rFonts w:ascii="Arial" w:hAnsi="Arial"/>
          <w:b/>
          <w:color w:val="59C3BA"/>
          <w:sz w:val="20"/>
        </w:rPr>
        <w:t>FRESH DIGITAL — DIGITAL GROWTH STRATEGY PROPOSAL</w:t>
        <w:br/>
      </w:r>
      <w:r>
        <w:rPr>
          <w:rFonts w:ascii="Arial" w:hAnsi="Arial"/>
          <w:b/>
          <w:color w:val="021E18"/>
          <w:sz w:val="44"/>
        </w:rPr>
        <w:t>U.S. POLO ASSN. THAILAND</w:t>
      </w:r>
    </w:p>
    <w:p>
      <w:r>
        <w:rPr>
          <w:rFonts w:ascii="Arial" w:hAnsi="Arial"/>
          <w:i/>
          <w:color w:val="555555"/>
          <w:sz w:val="22"/>
        </w:rPr>
        <w:t>Integrated Social Media &amp; E-Commerce Growth Strategy Proposal (2-Phase Roadmap)</w:t>
      </w:r>
    </w:p>
    <w:p>
      <w:pPr>
        <w:spacing w:after="160"/>
      </w:pPr>
    </w:p>
    <w:p>
      <w:pPr>
        <w:spacing w:before="320" w:after="120"/>
      </w:pPr>
      <w:r>
        <w:rPr>
          <w:rFonts w:ascii="Arial" w:hAnsi="Arial"/>
          <w:b/>
          <w:color w:val="021E18"/>
          <w:sz w:val="30"/>
        </w:rPr>
        <w:t>1. Executive Summary</w:t>
      </w:r>
    </w:p>
    <w:p>
      <w:pPr>
        <w:spacing w:before="40" w:after="100" w:line="276" w:lineRule="auto"/>
      </w:pPr>
      <w:r>
        <w:rPr>
          <w:rFonts w:ascii="Arial" w:hAnsi="Arial"/>
          <w:color w:val="333333"/>
          <w:sz w:val="20"/>
        </w:rPr>
        <w:t>Fresh Digital is pleased to submit this comprehensive digital marketing growth proposal for U.S. Polo Assn. Thailand. As the official brand of the United States Polo Association (USPA), U.S. Polo Assn. carries an unmatched heritage of authentic sport, timeless American style, and accessible luxury sportswear.</w:t>
      </w:r>
    </w:p>
    <w:p>
      <w:pPr>
        <w:spacing w:before="40" w:after="100" w:line="276" w:lineRule="auto"/>
      </w:pPr>
      <w:r>
        <w:rPr>
          <w:rFonts w:ascii="Arial" w:hAnsi="Arial"/>
          <w:color w:val="333333"/>
          <w:sz w:val="20"/>
        </w:rPr>
        <w:t>This proposal establishes a strategic 2-phase roadmap designed to maximize return on ad spend (ROAS) across social media and search channels while transitioning the brand into a high-performing e-commerce powerhouse upon the launch of its new Shopify store in October 2026.</w:t>
      </w:r>
    </w:p>
    <w:tbl>
      <w:tblPr>
        <w:tblW w:type="auto" w:w="0"/>
        <w:jc w:val="center"/>
        <w:tblLook w:firstColumn="1" w:firstRow="1" w:lastColumn="0" w:lastRow="0" w:noHBand="0" w:noVBand="1" w:val="04A0"/>
      </w:tblPr>
      <w:tblGrid>
        <w:gridCol w:w="9936"/>
      </w:tblGrid>
      <w:tr>
        <w:tc>
          <w:tcPr>
            <w:tcW w:type="dxa" w:w="9936"/>
            <w:shd w:fill="F0F7F5"/>
            <w:tcMar>
              <w:top w:w="120" w:type="dxa"/>
              <w:bottom w:w="120" w:type="dxa"/>
              <w:left w:w="180" w:type="dxa"/>
              <w:right w:w="180" w:type="dxa"/>
            </w:tcMar>
          </w:tcPr>
          <w:p>
            <w:pPr>
              <w:spacing w:before="40" w:after="80"/>
            </w:pPr>
            <w:r>
              <w:rPr>
                <w:rFonts w:ascii="Arial" w:hAnsi="Arial"/>
                <w:b/>
                <w:color w:val="003B2D"/>
                <w:sz w:val="21"/>
              </w:rPr>
              <w:t>📌 Commercial Summary &amp; Strategic Parameters</w:t>
              <w:br/>
            </w:r>
            <w:r>
              <w:rPr>
                <w:rFonts w:ascii="Arial" w:hAnsi="Arial"/>
                <w:color w:val="333333"/>
                <w:sz w:val="19"/>
              </w:rPr>
              <w:t>• Monthly Media Budget: THB 100,000 / month (100% allocated to ad platform spend)</w:t>
              <w:br/>
              <w:t>• Monthly Agency Management Fee: THB 35,000 / month (excluding 7% VAT)</w:t>
              <w:br/>
              <w:t>• Brand Hub &amp; Social Signals: https://linktr.ee/uspoloassn.th (@uspoloassn.th, LINE OA @uspolo)</w:t>
              <w:br/>
              <w:t>• Phase 1 (Aug - Mid-Oct 2026): Social Media Marketing Engine (Facebook, Instagram, TikTok, LINE OA)</w:t>
              <w:br/>
              <w:t>• Phase 2 (Mid-Oct 2026+): Shopify Full-Funnel E-Commerce, CPAS (Marketplaces) &amp; Google Shopping Ads</w:t>
            </w:r>
          </w:p>
        </w:tc>
      </w:tr>
    </w:tbl>
    <w:p>
      <w:pPr>
        <w:spacing w:after="80"/>
      </w:pPr>
    </w:p>
    <w:p>
      <w:pPr>
        <w:spacing w:before="320" w:after="120"/>
      </w:pPr>
      <w:r>
        <w:rPr>
          <w:rFonts w:ascii="Arial" w:hAnsi="Arial"/>
          <w:b/>
          <w:color w:val="021E18"/>
          <w:sz w:val="30"/>
        </w:rPr>
        <w:t>2. Brand Context &amp; Market Positioning</w:t>
      </w:r>
    </w:p>
    <w:p>
      <w:pPr>
        <w:spacing w:before="40" w:after="100" w:line="276" w:lineRule="auto"/>
      </w:pPr>
      <w:r>
        <w:rPr>
          <w:rFonts w:ascii="Arial" w:hAnsi="Arial"/>
          <w:color w:val="333333"/>
          <w:sz w:val="20"/>
        </w:rPr>
        <w:t>U.S. Polo Assn. occupies a distinct sweet spot in Thailand's fashion landscape: authentic sport heritage, premium quality fabrications, and classic preppy aesthetics at an accessible price point compared to luxury legacy competitors.</w:t>
      </w:r>
    </w:p>
    <w:p>
      <w:pPr>
        <w:spacing w:before="240" w:after="80"/>
      </w:pPr>
      <w:r>
        <w:rPr>
          <w:rFonts w:ascii="Arial" w:hAnsi="Arial"/>
          <w:b/>
          <w:color w:val="003B2D"/>
          <w:sz w:val="25"/>
        </w:rPr>
        <w:t>Core Audience Profiles in Thailand</w:t>
      </w:r>
    </w:p>
    <w:p>
      <w:pPr>
        <w:pStyle w:val="ListBullet"/>
        <w:spacing w:before="20" w:after="60" w:line="276" w:lineRule="auto"/>
      </w:pPr>
      <w:r>
        <w:rPr>
          <w:rFonts w:ascii="Arial" w:hAnsi="Arial"/>
          <w:b/>
          <w:color w:val="222222"/>
          <w:sz w:val="20"/>
        </w:rPr>
        <w:t xml:space="preserve">1. Classic Lifestyle &amp; Smart Casual: </w:t>
      </w:r>
      <w:r>
        <w:rPr>
          <w:rFonts w:ascii="Arial" w:hAnsi="Arial"/>
          <w:color w:val="333333"/>
          <w:sz w:val="20"/>
        </w:rPr>
        <w:t>Ages 25–42, working professionals, corporate executives, and smart-casual dressers seeking stylish, durable polo shirts and office-to-weekend apparel.</w:t>
      </w:r>
    </w:p>
    <w:p>
      <w:pPr>
        <w:pStyle w:val="ListBullet"/>
        <w:spacing w:before="20" w:after="60" w:line="276" w:lineRule="auto"/>
      </w:pPr>
      <w:r>
        <w:rPr>
          <w:rFonts w:ascii="Arial" w:hAnsi="Arial"/>
          <w:b/>
          <w:color w:val="222222"/>
          <w:sz w:val="20"/>
        </w:rPr>
        <w:t xml:space="preserve">2. Golf &amp; Sport Heritage Enthusiasts: </w:t>
      </w:r>
      <w:r>
        <w:rPr>
          <w:rFonts w:ascii="Arial" w:hAnsi="Arial"/>
          <w:color w:val="333333"/>
          <w:sz w:val="20"/>
        </w:rPr>
        <w:t>Ages 20–35, sports enthusiasts, golf and polo fans, active lifestyle individuals who value authentic American sportswear heritage.</w:t>
      </w:r>
    </w:p>
    <w:p>
      <w:pPr>
        <w:pStyle w:val="ListBullet"/>
        <w:spacing w:before="20" w:after="60" w:line="276" w:lineRule="auto"/>
      </w:pPr>
      <w:r>
        <w:rPr>
          <w:rFonts w:ascii="Arial" w:hAnsi="Arial"/>
          <w:b/>
          <w:color w:val="222222"/>
          <w:sz w:val="20"/>
        </w:rPr>
        <w:t xml:space="preserve">3. Gifting &amp; Lifestyle Accessory Shoppers: </w:t>
      </w:r>
      <w:r>
        <w:rPr>
          <w:rFonts w:ascii="Arial" w:hAnsi="Arial"/>
          <w:color w:val="333333"/>
          <w:sz w:val="20"/>
        </w:rPr>
        <w:t>Ages 22–38, seasonal shoppers purchasing premium branded apparel, caps, bags, and accessories as gifts for partners and family.</w:t>
      </w:r>
    </w:p>
    <w:p>
      <w:pPr>
        <w:spacing w:before="320" w:after="120"/>
      </w:pPr>
      <w:r>
        <w:rPr>
          <w:rFonts w:ascii="Arial" w:hAnsi="Arial"/>
          <w:b/>
          <w:color w:val="021E18"/>
          <w:sz w:val="30"/>
        </w:rPr>
        <w:t>3. Phase 1 Strategy: Social Media Marketing Plan (August – Mid-October 2026)</w:t>
      </w:r>
    </w:p>
    <w:p>
      <w:pPr>
        <w:spacing w:before="40" w:after="100" w:line="276" w:lineRule="auto"/>
      </w:pPr>
      <w:r>
        <w:rPr>
          <w:rFonts w:ascii="Arial" w:hAnsi="Arial"/>
          <w:color w:val="333333"/>
          <w:sz w:val="20"/>
        </w:rPr>
        <w:t>During the site construction phase, 100% of media spend will be deployed across high-engagement social media platforms. The objective is to build brand awareness, capture active buyer intent, and convert prospects directly via Social Commerce, direct messaging (FB/IG DMs), LINE OA (@uspolo), and existing marketplace links.</w:t>
      </w:r>
    </w:p>
    <w:p>
      <w:pPr>
        <w:spacing w:before="240" w:after="80"/>
      </w:pPr>
      <w:r>
        <w:rPr>
          <w:rFonts w:ascii="Arial" w:hAnsi="Arial"/>
          <w:b/>
          <w:color w:val="003B2D"/>
          <w:sz w:val="25"/>
        </w:rPr>
        <w:t>Channel Roles &amp; Campaign Architecture (Phase 1)</w:t>
      </w:r>
    </w:p>
    <w:p>
      <w:pPr>
        <w:pStyle w:val="ListBullet"/>
        <w:spacing w:before="20" w:after="60" w:line="276" w:lineRule="auto"/>
      </w:pPr>
      <w:r>
        <w:rPr>
          <w:rFonts w:ascii="Arial" w:hAnsi="Arial"/>
          <w:b/>
          <w:color w:val="222222"/>
          <w:sz w:val="20"/>
        </w:rPr>
        <w:t xml:space="preserve">• Facebook &amp; Instagram Ads (Meta): </w:t>
      </w:r>
      <w:r>
        <w:rPr>
          <w:rFonts w:ascii="Arial" w:hAnsi="Arial"/>
          <w:color w:val="333333"/>
          <w:sz w:val="20"/>
        </w:rPr>
        <w:t>Prospecting &amp; Visual Storytelling. Focus on high-performing video Reels, lifestyle image carousels, and collection ads highlighting fit, fabric, and iconic logo detailing. Drives traffic to Linktree &amp; direct messages.</w:t>
      </w:r>
    </w:p>
    <w:p>
      <w:pPr>
        <w:pStyle w:val="ListBullet"/>
        <w:spacing w:before="20" w:after="60" w:line="276" w:lineRule="auto"/>
      </w:pPr>
      <w:r>
        <w:rPr>
          <w:rFonts w:ascii="Arial" w:hAnsi="Arial"/>
          <w:b/>
          <w:color w:val="222222"/>
          <w:sz w:val="20"/>
        </w:rPr>
        <w:t xml:space="preserve">• TikTok Ads Platform: </w:t>
      </w:r>
      <w:r>
        <w:rPr>
          <w:rFonts w:ascii="Arial" w:hAnsi="Arial"/>
          <w:color w:val="333333"/>
          <w:sz w:val="20"/>
        </w:rPr>
        <w:t>High-Energy Trend &amp; Lifestyle Discovery. Deploy short-form 9:16 videos, creator Spark Ads, and outfit-of-the-day (OOTD) styling content targeting fashion-conscious Gen Z &amp; Millennials.</w:t>
      </w:r>
    </w:p>
    <w:p>
      <w:pPr>
        <w:pStyle w:val="ListBullet"/>
        <w:spacing w:before="20" w:after="60" w:line="276" w:lineRule="auto"/>
      </w:pPr>
      <w:r>
        <w:rPr>
          <w:rFonts w:ascii="Arial" w:hAnsi="Arial"/>
          <w:b/>
          <w:color w:val="222222"/>
          <w:sz w:val="20"/>
        </w:rPr>
        <w:t xml:space="preserve">• LINE Ads Platform (LAP): </w:t>
      </w:r>
      <w:r>
        <w:rPr>
          <w:rFonts w:ascii="Arial" w:hAnsi="Arial"/>
          <w:color w:val="333333"/>
          <w:sz w:val="20"/>
        </w:rPr>
        <w:t>Direct High-Intent Conversion &amp; CRM. Targeted LAP (LINE Ads Platform) campaigns to drive LINE OA (@uspolo) add-friends for direct chat sales, VIP membership registration, and catalog distribution.</w:t>
      </w:r>
    </w:p>
    <w:p>
      <w:pPr>
        <w:spacing w:before="240" w:after="80"/>
      </w:pPr>
      <w:r>
        <w:rPr>
          <w:rFonts w:ascii="Arial" w:hAnsi="Arial"/>
          <w:b/>
          <w:color w:val="003B2D"/>
          <w:sz w:val="25"/>
        </w:rPr>
        <w:t>Phase 1 Monthly Budget Allocation (THB 100,000 / Month)</w:t>
      </w:r>
    </w:p>
    <w:tbl>
      <w:tblPr>
        <w:tblW w:type="auto" w:w="0"/>
        <w:jc w:val="center"/>
        <w:tblLook w:firstColumn="1" w:firstRow="1" w:lastColumn="0" w:lastRow="0" w:noHBand="0" w:noVBand="1" w:val="04A0"/>
      </w:tblPr>
      <w:tblGrid>
        <w:gridCol w:w="1987"/>
        <w:gridCol w:w="1987"/>
        <w:gridCol w:w="1987"/>
        <w:gridCol w:w="1987"/>
        <w:gridCol w:w="1987"/>
      </w:tblGrid>
      <w:tr>
        <w:tc>
          <w:tcPr>
            <w:tcW w:type="dxa" w:w="2160"/>
            <w:shd w:fill="003B2D"/>
            <w:tcMar>
              <w:top w:w="100" w:type="dxa"/>
              <w:bottom w:w="100" w:type="dxa"/>
              <w:left w:w="100" w:type="dxa"/>
              <w:right w:w="100" w:type="dxa"/>
            </w:tcMar>
          </w:tcPr>
          <w:p>
            <w:pPr>
              <w:jc w:val="center"/>
            </w:pPr>
            <w:r>
              <w:rPr>
                <w:rFonts w:ascii="Arial" w:hAnsi="Arial"/>
                <w:b/>
                <w:color w:val="FFFFFF"/>
                <w:sz w:val="19"/>
              </w:rPr>
              <w:t>Channel</w:t>
            </w:r>
          </w:p>
        </w:tc>
        <w:tc>
          <w:tcPr>
            <w:tcW w:type="dxa" w:w="1728"/>
            <w:shd w:fill="003B2D"/>
            <w:tcMar>
              <w:top w:w="100" w:type="dxa"/>
              <w:bottom w:w="100" w:type="dxa"/>
              <w:left w:w="100" w:type="dxa"/>
              <w:right w:w="100" w:type="dxa"/>
            </w:tcMar>
          </w:tcPr>
          <w:p>
            <w:pPr>
              <w:jc w:val="center"/>
            </w:pPr>
            <w:r>
              <w:rPr>
                <w:rFonts w:ascii="Arial" w:hAnsi="Arial"/>
                <w:b/>
                <w:color w:val="FFFFFF"/>
                <w:sz w:val="19"/>
              </w:rPr>
              <w:t>Monthly Budget (THB)</w:t>
            </w:r>
          </w:p>
        </w:tc>
        <w:tc>
          <w:tcPr>
            <w:tcW w:type="dxa" w:w="1152"/>
            <w:shd w:fill="003B2D"/>
            <w:tcMar>
              <w:top w:w="100" w:type="dxa"/>
              <w:bottom w:w="100" w:type="dxa"/>
              <w:left w:w="100" w:type="dxa"/>
              <w:right w:w="100" w:type="dxa"/>
            </w:tcMar>
          </w:tcPr>
          <w:p>
            <w:pPr>
              <w:jc w:val="center"/>
            </w:pPr>
            <w:r>
              <w:rPr>
                <w:rFonts w:ascii="Arial" w:hAnsi="Arial"/>
                <w:b/>
                <w:color w:val="FFFFFF"/>
                <w:sz w:val="19"/>
              </w:rPr>
              <w:t>Share (%)</w:t>
            </w:r>
          </w:p>
        </w:tc>
        <w:tc>
          <w:tcPr>
            <w:tcW w:type="dxa" w:w="2592"/>
            <w:shd w:fill="003B2D"/>
            <w:tcMar>
              <w:top w:w="100" w:type="dxa"/>
              <w:bottom w:w="100" w:type="dxa"/>
              <w:left w:w="100" w:type="dxa"/>
              <w:right w:w="100" w:type="dxa"/>
            </w:tcMar>
          </w:tcPr>
          <w:p>
            <w:pPr>
              <w:jc w:val="center"/>
            </w:pPr>
            <w:r>
              <w:rPr>
                <w:rFonts w:ascii="Arial" w:hAnsi="Arial"/>
                <w:b/>
                <w:color w:val="FFFFFF"/>
                <w:sz w:val="19"/>
              </w:rPr>
              <w:t>Primary Campaign Objectives</w:t>
            </w:r>
          </w:p>
        </w:tc>
        <w:tc>
          <w:tcPr>
            <w:tcW w:type="dxa" w:w="2448"/>
            <w:shd w:fill="003B2D"/>
            <w:tcMar>
              <w:top w:w="100" w:type="dxa"/>
              <w:bottom w:w="100" w:type="dxa"/>
              <w:left w:w="100" w:type="dxa"/>
              <w:right w:w="100" w:type="dxa"/>
            </w:tcMar>
          </w:tcPr>
          <w:p>
            <w:pPr>
              <w:jc w:val="center"/>
            </w:pPr>
            <w:r>
              <w:rPr>
                <w:rFonts w:ascii="Arial" w:hAnsi="Arial"/>
                <w:b/>
                <w:color w:val="FFFFFF"/>
                <w:sz w:val="19"/>
              </w:rPr>
              <w:t>Target Output / Funnel Stage</w:t>
            </w:r>
          </w:p>
        </w:tc>
      </w:tr>
      <w:tr>
        <w:tc>
          <w:tcPr>
            <w:tcW w:type="dxa" w:w="2160"/>
            <w:shd w:fill="FFFFFF"/>
            <w:tcMar>
              <w:top w:w="80" w:type="dxa"/>
              <w:bottom w:w="80" w:type="dxa"/>
              <w:left w:w="80" w:type="dxa"/>
              <w:right w:w="80" w:type="dxa"/>
            </w:tcMar>
          </w:tcPr>
          <w:p>
            <w:pPr>
              <w:spacing w:before="40" w:after="40"/>
              <w:jc w:val="left"/>
            </w:pPr>
            <w:r>
              <w:rPr>
                <w:rFonts w:ascii="Arial" w:hAnsi="Arial"/>
                <w:color w:val="333333"/>
                <w:sz w:val="18"/>
              </w:rPr>
              <w:t>Meta Ads (FB &amp; IG)</w:t>
            </w:r>
          </w:p>
        </w:tc>
        <w:tc>
          <w:tcPr>
            <w:tcW w:type="dxa" w:w="1728"/>
            <w:shd w:fill="FFFFFF"/>
            <w:tcMar>
              <w:top w:w="80" w:type="dxa"/>
              <w:bottom w:w="80" w:type="dxa"/>
              <w:left w:w="80" w:type="dxa"/>
              <w:right w:w="80" w:type="dxa"/>
            </w:tcMar>
          </w:tcPr>
          <w:p>
            <w:pPr>
              <w:spacing w:before="40" w:after="40"/>
              <w:jc w:val="center"/>
            </w:pPr>
            <w:r>
              <w:rPr>
                <w:rFonts w:ascii="Arial" w:hAnsi="Arial"/>
                <w:color w:val="333333"/>
                <w:sz w:val="18"/>
              </w:rPr>
              <w:t>THB 50,000</w:t>
            </w:r>
          </w:p>
        </w:tc>
        <w:tc>
          <w:tcPr>
            <w:tcW w:type="dxa" w:w="1152"/>
            <w:shd w:fill="FFFFFF"/>
            <w:tcMar>
              <w:top w:w="80" w:type="dxa"/>
              <w:bottom w:w="80" w:type="dxa"/>
              <w:left w:w="80" w:type="dxa"/>
              <w:right w:w="80" w:type="dxa"/>
            </w:tcMar>
          </w:tcPr>
          <w:p>
            <w:pPr>
              <w:spacing w:before="40" w:after="40"/>
              <w:jc w:val="center"/>
            </w:pPr>
            <w:r>
              <w:rPr>
                <w:rFonts w:ascii="Arial" w:hAnsi="Arial"/>
                <w:color w:val="333333"/>
                <w:sz w:val="18"/>
              </w:rPr>
              <w:t>50%</w:t>
            </w:r>
          </w:p>
        </w:tc>
        <w:tc>
          <w:tcPr>
            <w:tcW w:type="dxa" w:w="2592"/>
            <w:shd w:fill="FFFFFF"/>
            <w:tcMar>
              <w:top w:w="80" w:type="dxa"/>
              <w:bottom w:w="80" w:type="dxa"/>
              <w:left w:w="80" w:type="dxa"/>
              <w:right w:w="80" w:type="dxa"/>
            </w:tcMar>
          </w:tcPr>
          <w:p>
            <w:pPr>
              <w:spacing w:before="40" w:after="40"/>
              <w:jc w:val="center"/>
            </w:pPr>
            <w:r>
              <w:rPr>
                <w:rFonts w:ascii="Arial" w:hAnsi="Arial"/>
                <w:color w:val="333333"/>
                <w:sz w:val="18"/>
              </w:rPr>
              <w:t>Reels Views, Engagement, Linktree Traffic, DMs</w:t>
            </w:r>
          </w:p>
        </w:tc>
        <w:tc>
          <w:tcPr>
            <w:tcW w:type="dxa" w:w="2448"/>
            <w:shd w:fill="FFFFFF"/>
            <w:tcMar>
              <w:top w:w="80" w:type="dxa"/>
              <w:bottom w:w="80" w:type="dxa"/>
              <w:left w:w="80" w:type="dxa"/>
              <w:right w:w="80" w:type="dxa"/>
            </w:tcMar>
          </w:tcPr>
          <w:p>
            <w:pPr>
              <w:spacing w:before="40" w:after="40"/>
              <w:jc w:val="center"/>
            </w:pPr>
            <w:r>
              <w:rPr>
                <w:rFonts w:ascii="Arial" w:hAnsi="Arial"/>
                <w:color w:val="333333"/>
                <w:sz w:val="18"/>
              </w:rPr>
              <w:t>Top &amp; Middle Funnel (Awareness &amp; Intent)</w:t>
            </w:r>
          </w:p>
        </w:tc>
      </w:tr>
      <w:tr>
        <w:tc>
          <w:tcPr>
            <w:tcW w:type="dxa" w:w="2160"/>
            <w:shd w:fill="F9FBFB"/>
            <w:tcMar>
              <w:top w:w="80" w:type="dxa"/>
              <w:bottom w:w="80" w:type="dxa"/>
              <w:left w:w="80" w:type="dxa"/>
              <w:right w:w="80" w:type="dxa"/>
            </w:tcMar>
          </w:tcPr>
          <w:p>
            <w:pPr>
              <w:spacing w:before="40" w:after="40"/>
              <w:jc w:val="left"/>
            </w:pPr>
            <w:r>
              <w:rPr>
                <w:rFonts w:ascii="Arial" w:hAnsi="Arial"/>
                <w:color w:val="333333"/>
                <w:sz w:val="18"/>
              </w:rPr>
              <w:t>TikTok Ads</w:t>
            </w:r>
          </w:p>
        </w:tc>
        <w:tc>
          <w:tcPr>
            <w:tcW w:type="dxa" w:w="1728"/>
            <w:shd w:fill="F9FBFB"/>
            <w:tcMar>
              <w:top w:w="80" w:type="dxa"/>
              <w:bottom w:w="80" w:type="dxa"/>
              <w:left w:w="80" w:type="dxa"/>
              <w:right w:w="80" w:type="dxa"/>
            </w:tcMar>
          </w:tcPr>
          <w:p>
            <w:pPr>
              <w:spacing w:before="40" w:after="40"/>
              <w:jc w:val="center"/>
            </w:pPr>
            <w:r>
              <w:rPr>
                <w:rFonts w:ascii="Arial" w:hAnsi="Arial"/>
                <w:color w:val="333333"/>
                <w:sz w:val="18"/>
              </w:rPr>
              <w:t>THB 30,000</w:t>
            </w:r>
          </w:p>
        </w:tc>
        <w:tc>
          <w:tcPr>
            <w:tcW w:type="dxa" w:w="1152"/>
            <w:shd w:fill="F9FBFB"/>
            <w:tcMar>
              <w:top w:w="80" w:type="dxa"/>
              <w:bottom w:w="80" w:type="dxa"/>
              <w:left w:w="80" w:type="dxa"/>
              <w:right w:w="80" w:type="dxa"/>
            </w:tcMar>
          </w:tcPr>
          <w:p>
            <w:pPr>
              <w:spacing w:before="40" w:after="40"/>
              <w:jc w:val="center"/>
            </w:pPr>
            <w:r>
              <w:rPr>
                <w:rFonts w:ascii="Arial" w:hAnsi="Arial"/>
                <w:color w:val="333333"/>
                <w:sz w:val="18"/>
              </w:rPr>
              <w:t>30%</w:t>
            </w:r>
          </w:p>
        </w:tc>
        <w:tc>
          <w:tcPr>
            <w:tcW w:type="dxa" w:w="2592"/>
            <w:shd w:fill="F9FBFB"/>
            <w:tcMar>
              <w:top w:w="80" w:type="dxa"/>
              <w:bottom w:w="80" w:type="dxa"/>
              <w:left w:w="80" w:type="dxa"/>
              <w:right w:w="80" w:type="dxa"/>
            </w:tcMar>
          </w:tcPr>
          <w:p>
            <w:pPr>
              <w:spacing w:before="40" w:after="40"/>
              <w:jc w:val="center"/>
            </w:pPr>
            <w:r>
              <w:rPr>
                <w:rFonts w:ascii="Arial" w:hAnsi="Arial"/>
                <w:color w:val="333333"/>
                <w:sz w:val="18"/>
              </w:rPr>
              <w:t>Video Views, CTR, TikTok Profile &amp; Link Clicks</w:t>
            </w:r>
          </w:p>
        </w:tc>
        <w:tc>
          <w:tcPr>
            <w:tcW w:type="dxa" w:w="2448"/>
            <w:shd w:fill="F9FBFB"/>
            <w:tcMar>
              <w:top w:w="80" w:type="dxa"/>
              <w:bottom w:w="80" w:type="dxa"/>
              <w:left w:w="80" w:type="dxa"/>
              <w:right w:w="80" w:type="dxa"/>
            </w:tcMar>
          </w:tcPr>
          <w:p>
            <w:pPr>
              <w:spacing w:before="40" w:after="40"/>
              <w:jc w:val="center"/>
            </w:pPr>
            <w:r>
              <w:rPr>
                <w:rFonts w:ascii="Arial" w:hAnsi="Arial"/>
                <w:color w:val="333333"/>
                <w:sz w:val="18"/>
              </w:rPr>
              <w:t>Top Funnel Discovery &amp; Gen Z Reach</w:t>
            </w:r>
          </w:p>
        </w:tc>
      </w:tr>
      <w:tr>
        <w:tc>
          <w:tcPr>
            <w:tcW w:type="dxa" w:w="2160"/>
            <w:shd w:fill="FFFFFF"/>
            <w:tcMar>
              <w:top w:w="80" w:type="dxa"/>
              <w:bottom w:w="80" w:type="dxa"/>
              <w:left w:w="80" w:type="dxa"/>
              <w:right w:w="80" w:type="dxa"/>
            </w:tcMar>
          </w:tcPr>
          <w:p>
            <w:pPr>
              <w:spacing w:before="40" w:after="40"/>
              <w:jc w:val="left"/>
            </w:pPr>
            <w:r>
              <w:rPr>
                <w:rFonts w:ascii="Arial" w:hAnsi="Arial"/>
                <w:color w:val="333333"/>
                <w:sz w:val="18"/>
              </w:rPr>
              <w:t>LINE Ads (LAP)</w:t>
            </w:r>
          </w:p>
        </w:tc>
        <w:tc>
          <w:tcPr>
            <w:tcW w:type="dxa" w:w="1728"/>
            <w:shd w:fill="FFFFFF"/>
            <w:tcMar>
              <w:top w:w="80" w:type="dxa"/>
              <w:bottom w:w="80" w:type="dxa"/>
              <w:left w:w="80" w:type="dxa"/>
              <w:right w:w="80" w:type="dxa"/>
            </w:tcMar>
          </w:tcPr>
          <w:p>
            <w:pPr>
              <w:spacing w:before="40" w:after="40"/>
              <w:jc w:val="center"/>
            </w:pPr>
            <w:r>
              <w:rPr>
                <w:rFonts w:ascii="Arial" w:hAnsi="Arial"/>
                <w:color w:val="333333"/>
                <w:sz w:val="18"/>
              </w:rPr>
              <w:t>THB 20,000</w:t>
            </w:r>
          </w:p>
        </w:tc>
        <w:tc>
          <w:tcPr>
            <w:tcW w:type="dxa" w:w="1152"/>
            <w:shd w:fill="FFFFFF"/>
            <w:tcMar>
              <w:top w:w="80" w:type="dxa"/>
              <w:bottom w:w="80" w:type="dxa"/>
              <w:left w:w="80" w:type="dxa"/>
              <w:right w:w="80" w:type="dxa"/>
            </w:tcMar>
          </w:tcPr>
          <w:p>
            <w:pPr>
              <w:spacing w:before="40" w:after="40"/>
              <w:jc w:val="center"/>
            </w:pPr>
            <w:r>
              <w:rPr>
                <w:rFonts w:ascii="Arial" w:hAnsi="Arial"/>
                <w:color w:val="333333"/>
                <w:sz w:val="18"/>
              </w:rPr>
              <w:t>20%</w:t>
            </w:r>
          </w:p>
        </w:tc>
        <w:tc>
          <w:tcPr>
            <w:tcW w:type="dxa" w:w="2592"/>
            <w:shd w:fill="FFFFFF"/>
            <w:tcMar>
              <w:top w:w="80" w:type="dxa"/>
              <w:bottom w:w="80" w:type="dxa"/>
              <w:left w:w="80" w:type="dxa"/>
              <w:right w:w="80" w:type="dxa"/>
            </w:tcMar>
          </w:tcPr>
          <w:p>
            <w:pPr>
              <w:spacing w:before="40" w:after="40"/>
              <w:jc w:val="center"/>
            </w:pPr>
            <w:r>
              <w:rPr>
                <w:rFonts w:ascii="Arial" w:hAnsi="Arial"/>
                <w:color w:val="333333"/>
                <w:sz w:val="18"/>
              </w:rPr>
              <w:t>LINE OA Friend Adds (@uspolo), Chat Conversions</w:t>
            </w:r>
          </w:p>
        </w:tc>
        <w:tc>
          <w:tcPr>
            <w:tcW w:type="dxa" w:w="2448"/>
            <w:shd w:fill="FFFFFF"/>
            <w:tcMar>
              <w:top w:w="80" w:type="dxa"/>
              <w:bottom w:w="80" w:type="dxa"/>
              <w:left w:w="80" w:type="dxa"/>
              <w:right w:w="80" w:type="dxa"/>
            </w:tcMar>
          </w:tcPr>
          <w:p>
            <w:pPr>
              <w:spacing w:before="40" w:after="40"/>
              <w:jc w:val="center"/>
            </w:pPr>
            <w:r>
              <w:rPr>
                <w:rFonts w:ascii="Arial" w:hAnsi="Arial"/>
                <w:color w:val="333333"/>
                <w:sz w:val="18"/>
              </w:rPr>
              <w:t>Bottom Funnel Social Sales &amp; CRM</w:t>
            </w:r>
          </w:p>
        </w:tc>
      </w:tr>
      <w:tr>
        <w:tc>
          <w:tcPr>
            <w:tcW w:type="dxa" w:w="2160"/>
            <w:shd w:fill="F9FBFB"/>
            <w:tcMar>
              <w:top w:w="80" w:type="dxa"/>
              <w:bottom w:w="80" w:type="dxa"/>
              <w:left w:w="80" w:type="dxa"/>
              <w:right w:w="80" w:type="dxa"/>
            </w:tcMar>
          </w:tcPr>
          <w:p>
            <w:pPr>
              <w:spacing w:before="40" w:after="40"/>
              <w:jc w:val="left"/>
            </w:pPr>
            <w:r>
              <w:rPr>
                <w:rFonts w:ascii="Arial" w:hAnsi="Arial"/>
                <w:color w:val="333333"/>
                <w:sz w:val="18"/>
              </w:rPr>
              <w:t>Total Media Budget</w:t>
            </w:r>
          </w:p>
        </w:tc>
        <w:tc>
          <w:tcPr>
            <w:tcW w:type="dxa" w:w="1728"/>
            <w:shd w:fill="F9FBFB"/>
            <w:tcMar>
              <w:top w:w="80" w:type="dxa"/>
              <w:bottom w:w="80" w:type="dxa"/>
              <w:left w:w="80" w:type="dxa"/>
              <w:right w:w="80" w:type="dxa"/>
            </w:tcMar>
          </w:tcPr>
          <w:p>
            <w:pPr>
              <w:spacing w:before="40" w:after="40"/>
              <w:jc w:val="center"/>
            </w:pPr>
            <w:r>
              <w:rPr>
                <w:rFonts w:ascii="Arial" w:hAnsi="Arial"/>
                <w:color w:val="333333"/>
                <w:sz w:val="18"/>
              </w:rPr>
              <w:t>THB 100,000</w:t>
            </w:r>
          </w:p>
        </w:tc>
        <w:tc>
          <w:tcPr>
            <w:tcW w:type="dxa" w:w="1152"/>
            <w:shd w:fill="F9FBFB"/>
            <w:tcMar>
              <w:top w:w="80" w:type="dxa"/>
              <w:bottom w:w="80" w:type="dxa"/>
              <w:left w:w="80" w:type="dxa"/>
              <w:right w:w="80" w:type="dxa"/>
            </w:tcMar>
          </w:tcPr>
          <w:p>
            <w:pPr>
              <w:spacing w:before="40" w:after="40"/>
              <w:jc w:val="center"/>
            </w:pPr>
            <w:r>
              <w:rPr>
                <w:rFonts w:ascii="Arial" w:hAnsi="Arial"/>
                <w:color w:val="333333"/>
                <w:sz w:val="18"/>
              </w:rPr>
              <w:t>100%</w:t>
            </w:r>
          </w:p>
        </w:tc>
        <w:tc>
          <w:tcPr>
            <w:tcW w:type="dxa" w:w="2592"/>
            <w:shd w:fill="F9FBFB"/>
            <w:tcMar>
              <w:top w:w="80" w:type="dxa"/>
              <w:bottom w:w="80" w:type="dxa"/>
              <w:left w:w="80" w:type="dxa"/>
              <w:right w:w="80" w:type="dxa"/>
            </w:tcMar>
          </w:tcPr>
          <w:p>
            <w:pPr>
              <w:spacing w:before="40" w:after="40"/>
              <w:jc w:val="center"/>
            </w:pPr>
            <w:r>
              <w:rPr>
                <w:rFonts w:ascii="Arial" w:hAnsi="Arial"/>
                <w:color w:val="333333"/>
                <w:sz w:val="18"/>
              </w:rPr>
              <w:t>Integrated Social Commerce Engine</w:t>
            </w:r>
          </w:p>
        </w:tc>
        <w:tc>
          <w:tcPr>
            <w:tcW w:type="dxa" w:w="2448"/>
            <w:shd w:fill="F9FBFB"/>
            <w:tcMar>
              <w:top w:w="80" w:type="dxa"/>
              <w:bottom w:w="80" w:type="dxa"/>
              <w:left w:w="80" w:type="dxa"/>
              <w:right w:w="80" w:type="dxa"/>
            </w:tcMar>
          </w:tcPr>
          <w:p>
            <w:pPr>
              <w:spacing w:before="40" w:after="40"/>
              <w:jc w:val="center"/>
            </w:pPr>
            <w:r>
              <w:rPr>
                <w:rFonts w:ascii="Arial" w:hAnsi="Arial"/>
                <w:color w:val="333333"/>
                <w:sz w:val="18"/>
              </w:rPr>
              <w:t>Full Phase 1 Social Coverage</w:t>
            </w:r>
          </w:p>
        </w:tc>
      </w:tr>
    </w:tbl>
    <w:p>
      <w:pPr>
        <w:spacing w:before="320" w:after="120"/>
      </w:pPr>
      <w:r>
        <w:rPr>
          <w:rFonts w:ascii="Arial" w:hAnsi="Arial"/>
          <w:b/>
          <w:color w:val="021E18"/>
          <w:sz w:val="30"/>
        </w:rPr>
        <w:t>4. Phase 2 Strategy: Full-Funnel E-Commerce Launch (Mid-October 2026 Onwards)</w:t>
      </w:r>
    </w:p>
    <w:p>
      <w:pPr>
        <w:spacing w:before="40" w:after="100" w:line="276" w:lineRule="auto"/>
      </w:pPr>
      <w:r>
        <w:rPr>
          <w:rFonts w:ascii="Arial" w:hAnsi="Arial"/>
          <w:color w:val="333333"/>
          <w:sz w:val="20"/>
        </w:rPr>
        <w:t>Upon completion of the new Shopify e-commerce website, media campaigns will immediately pivot toward direct website purchase optimization, dynamic remarketing, Marketplace CPAS, and Google Shopping Search capture.</w:t>
      </w:r>
    </w:p>
    <w:p>
      <w:pPr>
        <w:spacing w:before="240" w:after="80"/>
      </w:pPr>
      <w:r>
        <w:rPr>
          <w:rFonts w:ascii="Arial" w:hAnsi="Arial"/>
          <w:b/>
          <w:color w:val="003B2D"/>
          <w:sz w:val="25"/>
        </w:rPr>
        <w:t>Phase 2 Monthly Budget Re-Allocation (THB 100,000 / Month)</w:t>
      </w:r>
    </w:p>
    <w:tbl>
      <w:tblPr>
        <w:tblW w:type="auto" w:w="0"/>
        <w:jc w:val="center"/>
        <w:tblLook w:firstColumn="1" w:firstRow="1" w:lastColumn="0" w:lastRow="0" w:noHBand="0" w:noVBand="1" w:val="04A0"/>
      </w:tblPr>
      <w:tblGrid>
        <w:gridCol w:w="1987"/>
        <w:gridCol w:w="1987"/>
        <w:gridCol w:w="1987"/>
        <w:gridCol w:w="1987"/>
        <w:gridCol w:w="1987"/>
      </w:tblGrid>
      <w:tr>
        <w:tc>
          <w:tcPr>
            <w:tcW w:type="dxa" w:w="2304"/>
            <w:shd w:fill="003B2D"/>
            <w:tcMar>
              <w:top w:w="100" w:type="dxa"/>
              <w:bottom w:w="100" w:type="dxa"/>
              <w:left w:w="100" w:type="dxa"/>
              <w:right w:w="100" w:type="dxa"/>
            </w:tcMar>
          </w:tcPr>
          <w:p>
            <w:pPr>
              <w:jc w:val="center"/>
            </w:pPr>
            <w:r>
              <w:rPr>
                <w:rFonts w:ascii="Arial" w:hAnsi="Arial"/>
                <w:b/>
                <w:color w:val="FFFFFF"/>
                <w:sz w:val="19"/>
              </w:rPr>
              <w:t>Channel / Strategy</w:t>
            </w:r>
          </w:p>
        </w:tc>
        <w:tc>
          <w:tcPr>
            <w:tcW w:type="dxa" w:w="1728"/>
            <w:shd w:fill="003B2D"/>
            <w:tcMar>
              <w:top w:w="100" w:type="dxa"/>
              <w:bottom w:w="100" w:type="dxa"/>
              <w:left w:w="100" w:type="dxa"/>
              <w:right w:w="100" w:type="dxa"/>
            </w:tcMar>
          </w:tcPr>
          <w:p>
            <w:pPr>
              <w:jc w:val="center"/>
            </w:pPr>
            <w:r>
              <w:rPr>
                <w:rFonts w:ascii="Arial" w:hAnsi="Arial"/>
                <w:b/>
                <w:color w:val="FFFFFF"/>
                <w:sz w:val="19"/>
              </w:rPr>
              <w:t>Monthly Budget (THB)</w:t>
            </w:r>
          </w:p>
        </w:tc>
        <w:tc>
          <w:tcPr>
            <w:tcW w:type="dxa" w:w="1152"/>
            <w:shd w:fill="003B2D"/>
            <w:tcMar>
              <w:top w:w="100" w:type="dxa"/>
              <w:bottom w:w="100" w:type="dxa"/>
              <w:left w:w="100" w:type="dxa"/>
              <w:right w:w="100" w:type="dxa"/>
            </w:tcMar>
          </w:tcPr>
          <w:p>
            <w:pPr>
              <w:jc w:val="center"/>
            </w:pPr>
            <w:r>
              <w:rPr>
                <w:rFonts w:ascii="Arial" w:hAnsi="Arial"/>
                <w:b/>
                <w:color w:val="FFFFFF"/>
                <w:sz w:val="19"/>
              </w:rPr>
              <w:t>Share (%)</w:t>
            </w:r>
          </w:p>
        </w:tc>
        <w:tc>
          <w:tcPr>
            <w:tcW w:type="dxa" w:w="2592"/>
            <w:shd w:fill="003B2D"/>
            <w:tcMar>
              <w:top w:w="100" w:type="dxa"/>
              <w:bottom w:w="100" w:type="dxa"/>
              <w:left w:w="100" w:type="dxa"/>
              <w:right w:w="100" w:type="dxa"/>
            </w:tcMar>
          </w:tcPr>
          <w:p>
            <w:pPr>
              <w:jc w:val="center"/>
            </w:pPr>
            <w:r>
              <w:rPr>
                <w:rFonts w:ascii="Arial" w:hAnsi="Arial"/>
                <w:b/>
                <w:color w:val="FFFFFF"/>
                <w:sz w:val="19"/>
              </w:rPr>
              <w:t>Campaign Focus &amp; Technology</w:t>
            </w:r>
          </w:p>
        </w:tc>
        <w:tc>
          <w:tcPr>
            <w:tcW w:type="dxa" w:w="2304"/>
            <w:shd w:fill="003B2D"/>
            <w:tcMar>
              <w:top w:w="100" w:type="dxa"/>
              <w:bottom w:w="100" w:type="dxa"/>
              <w:left w:w="100" w:type="dxa"/>
              <w:right w:w="100" w:type="dxa"/>
            </w:tcMar>
          </w:tcPr>
          <w:p>
            <w:pPr>
              <w:jc w:val="center"/>
            </w:pPr>
            <w:r>
              <w:rPr>
                <w:rFonts w:ascii="Arial" w:hAnsi="Arial"/>
                <w:b/>
                <w:color w:val="FFFFFF"/>
                <w:sz w:val="19"/>
              </w:rPr>
              <w:t>Expected KPI Focus</w:t>
            </w:r>
          </w:p>
        </w:tc>
      </w:tr>
      <w:tr>
        <w:tc>
          <w:tcPr>
            <w:tcW w:type="dxa" w:w="2304"/>
            <w:shd w:fill="FFFFFF"/>
            <w:tcMar>
              <w:top w:w="80" w:type="dxa"/>
              <w:bottom w:w="80" w:type="dxa"/>
              <w:left w:w="80" w:type="dxa"/>
              <w:right w:w="80" w:type="dxa"/>
            </w:tcMar>
          </w:tcPr>
          <w:p>
            <w:pPr>
              <w:spacing w:before="40" w:after="40"/>
              <w:jc w:val="left"/>
            </w:pPr>
            <w:r>
              <w:rPr>
                <w:rFonts w:ascii="Arial" w:hAnsi="Arial"/>
                <w:color w:val="333333"/>
                <w:sz w:val="18"/>
              </w:rPr>
              <w:t>Meta Web Conversions &amp; ASC</w:t>
            </w:r>
          </w:p>
        </w:tc>
        <w:tc>
          <w:tcPr>
            <w:tcW w:type="dxa" w:w="1728"/>
            <w:shd w:fill="FFFFFF"/>
            <w:tcMar>
              <w:top w:w="80" w:type="dxa"/>
              <w:bottom w:w="80" w:type="dxa"/>
              <w:left w:w="80" w:type="dxa"/>
              <w:right w:w="80" w:type="dxa"/>
            </w:tcMar>
          </w:tcPr>
          <w:p>
            <w:pPr>
              <w:spacing w:before="40" w:after="40"/>
              <w:jc w:val="center"/>
            </w:pPr>
            <w:r>
              <w:rPr>
                <w:rFonts w:ascii="Arial" w:hAnsi="Arial"/>
                <w:color w:val="333333"/>
                <w:sz w:val="18"/>
              </w:rPr>
              <w:t>THB 35,000</w:t>
            </w:r>
          </w:p>
        </w:tc>
        <w:tc>
          <w:tcPr>
            <w:tcW w:type="dxa" w:w="1152"/>
            <w:shd w:fill="FFFFFF"/>
            <w:tcMar>
              <w:top w:w="80" w:type="dxa"/>
              <w:bottom w:w="80" w:type="dxa"/>
              <w:left w:w="80" w:type="dxa"/>
              <w:right w:w="80" w:type="dxa"/>
            </w:tcMar>
          </w:tcPr>
          <w:p>
            <w:pPr>
              <w:spacing w:before="40" w:after="40"/>
              <w:jc w:val="center"/>
            </w:pPr>
            <w:r>
              <w:rPr>
                <w:rFonts w:ascii="Arial" w:hAnsi="Arial"/>
                <w:color w:val="333333"/>
                <w:sz w:val="18"/>
              </w:rPr>
              <w:t>35%</w:t>
            </w:r>
          </w:p>
        </w:tc>
        <w:tc>
          <w:tcPr>
            <w:tcW w:type="dxa" w:w="2592"/>
            <w:shd w:fill="FFFFFF"/>
            <w:tcMar>
              <w:top w:w="80" w:type="dxa"/>
              <w:bottom w:w="80" w:type="dxa"/>
              <w:left w:w="80" w:type="dxa"/>
              <w:right w:w="80" w:type="dxa"/>
            </w:tcMar>
          </w:tcPr>
          <w:p>
            <w:pPr>
              <w:spacing w:before="40" w:after="40"/>
              <w:jc w:val="center"/>
            </w:pPr>
            <w:r>
              <w:rPr>
                <w:rFonts w:ascii="Arial" w:hAnsi="Arial"/>
                <w:color w:val="333333"/>
                <w:sz w:val="18"/>
              </w:rPr>
              <w:t>Advantage+ Shopping, Web Purchase Pixel/CAPI, DPA</w:t>
            </w:r>
          </w:p>
        </w:tc>
        <w:tc>
          <w:tcPr>
            <w:tcW w:type="dxa" w:w="2304"/>
            <w:shd w:fill="FFFFFF"/>
            <w:tcMar>
              <w:top w:w="80" w:type="dxa"/>
              <w:bottom w:w="80" w:type="dxa"/>
              <w:left w:w="80" w:type="dxa"/>
              <w:right w:w="80" w:type="dxa"/>
            </w:tcMar>
          </w:tcPr>
          <w:p>
            <w:pPr>
              <w:spacing w:before="40" w:after="40"/>
              <w:jc w:val="center"/>
            </w:pPr>
            <w:r>
              <w:rPr>
                <w:rFonts w:ascii="Arial" w:hAnsi="Arial"/>
                <w:color w:val="333333"/>
                <w:sz w:val="18"/>
              </w:rPr>
              <w:t>Direct Web ROAS &amp; Purchase Volume</w:t>
            </w:r>
          </w:p>
        </w:tc>
      </w:tr>
      <w:tr>
        <w:tc>
          <w:tcPr>
            <w:tcW w:type="dxa" w:w="2304"/>
            <w:shd w:fill="F9FBFB"/>
            <w:tcMar>
              <w:top w:w="80" w:type="dxa"/>
              <w:bottom w:w="80" w:type="dxa"/>
              <w:left w:w="80" w:type="dxa"/>
              <w:right w:w="80" w:type="dxa"/>
            </w:tcMar>
          </w:tcPr>
          <w:p>
            <w:pPr>
              <w:spacing w:before="40" w:after="40"/>
              <w:jc w:val="left"/>
            </w:pPr>
            <w:r>
              <w:rPr>
                <w:rFonts w:ascii="Arial" w:hAnsi="Arial"/>
                <w:color w:val="333333"/>
                <w:sz w:val="18"/>
              </w:rPr>
              <w:t>Google Shopping &amp; Search / PMax</w:t>
            </w:r>
          </w:p>
        </w:tc>
        <w:tc>
          <w:tcPr>
            <w:tcW w:type="dxa" w:w="1728"/>
            <w:shd w:fill="F9FBFB"/>
            <w:tcMar>
              <w:top w:w="80" w:type="dxa"/>
              <w:bottom w:w="80" w:type="dxa"/>
              <w:left w:w="80" w:type="dxa"/>
              <w:right w:w="80" w:type="dxa"/>
            </w:tcMar>
          </w:tcPr>
          <w:p>
            <w:pPr>
              <w:spacing w:before="40" w:after="40"/>
              <w:jc w:val="center"/>
            </w:pPr>
            <w:r>
              <w:rPr>
                <w:rFonts w:ascii="Arial" w:hAnsi="Arial"/>
                <w:color w:val="333333"/>
                <w:sz w:val="18"/>
              </w:rPr>
              <w:t>THB 30,000</w:t>
            </w:r>
          </w:p>
        </w:tc>
        <w:tc>
          <w:tcPr>
            <w:tcW w:type="dxa" w:w="1152"/>
            <w:shd w:fill="F9FBFB"/>
            <w:tcMar>
              <w:top w:w="80" w:type="dxa"/>
              <w:bottom w:w="80" w:type="dxa"/>
              <w:left w:w="80" w:type="dxa"/>
              <w:right w:w="80" w:type="dxa"/>
            </w:tcMar>
          </w:tcPr>
          <w:p>
            <w:pPr>
              <w:spacing w:before="40" w:after="40"/>
              <w:jc w:val="center"/>
            </w:pPr>
            <w:r>
              <w:rPr>
                <w:rFonts w:ascii="Arial" w:hAnsi="Arial"/>
                <w:color w:val="333333"/>
                <w:sz w:val="18"/>
              </w:rPr>
              <w:t>30%</w:t>
            </w:r>
          </w:p>
        </w:tc>
        <w:tc>
          <w:tcPr>
            <w:tcW w:type="dxa" w:w="2592"/>
            <w:shd w:fill="F9FBFB"/>
            <w:tcMar>
              <w:top w:w="80" w:type="dxa"/>
              <w:bottom w:w="80" w:type="dxa"/>
              <w:left w:w="80" w:type="dxa"/>
              <w:right w:w="80" w:type="dxa"/>
            </w:tcMar>
          </w:tcPr>
          <w:p>
            <w:pPr>
              <w:spacing w:before="40" w:after="40"/>
              <w:jc w:val="center"/>
            </w:pPr>
            <w:r>
              <w:rPr>
                <w:rFonts w:ascii="Arial" w:hAnsi="Arial"/>
                <w:color w:val="333333"/>
                <w:sz w:val="18"/>
              </w:rPr>
              <w:t>Google Merchant Center, PMax Retail, Exact Brand Search</w:t>
            </w:r>
          </w:p>
        </w:tc>
        <w:tc>
          <w:tcPr>
            <w:tcW w:type="dxa" w:w="2304"/>
            <w:shd w:fill="F9FBFB"/>
            <w:tcMar>
              <w:top w:w="80" w:type="dxa"/>
              <w:bottom w:w="80" w:type="dxa"/>
              <w:left w:w="80" w:type="dxa"/>
              <w:right w:w="80" w:type="dxa"/>
            </w:tcMar>
          </w:tcPr>
          <w:p>
            <w:pPr>
              <w:spacing w:before="40" w:after="40"/>
              <w:jc w:val="center"/>
            </w:pPr>
            <w:r>
              <w:rPr>
                <w:rFonts w:ascii="Arial" w:hAnsi="Arial"/>
                <w:color w:val="333333"/>
                <w:sz w:val="18"/>
              </w:rPr>
              <w:t>High-Intent Capture &amp; Web Revenue</w:t>
            </w:r>
          </w:p>
        </w:tc>
      </w:tr>
      <w:tr>
        <w:tc>
          <w:tcPr>
            <w:tcW w:type="dxa" w:w="2304"/>
            <w:shd w:fill="FFFFFF"/>
            <w:tcMar>
              <w:top w:w="80" w:type="dxa"/>
              <w:bottom w:w="80" w:type="dxa"/>
              <w:left w:w="80" w:type="dxa"/>
              <w:right w:w="80" w:type="dxa"/>
            </w:tcMar>
          </w:tcPr>
          <w:p>
            <w:pPr>
              <w:spacing w:before="40" w:after="40"/>
              <w:jc w:val="left"/>
            </w:pPr>
            <w:r>
              <w:rPr>
                <w:rFonts w:ascii="Arial" w:hAnsi="Arial"/>
                <w:color w:val="333333"/>
                <w:sz w:val="18"/>
              </w:rPr>
              <w:t>CPAS (Shopee / Lazada)</w:t>
            </w:r>
          </w:p>
        </w:tc>
        <w:tc>
          <w:tcPr>
            <w:tcW w:type="dxa" w:w="1728"/>
            <w:shd w:fill="FFFFFF"/>
            <w:tcMar>
              <w:top w:w="80" w:type="dxa"/>
              <w:bottom w:w="80" w:type="dxa"/>
              <w:left w:w="80" w:type="dxa"/>
              <w:right w:w="80" w:type="dxa"/>
            </w:tcMar>
          </w:tcPr>
          <w:p>
            <w:pPr>
              <w:spacing w:before="40" w:after="40"/>
              <w:jc w:val="center"/>
            </w:pPr>
            <w:r>
              <w:rPr>
                <w:rFonts w:ascii="Arial" w:hAnsi="Arial"/>
                <w:color w:val="333333"/>
                <w:sz w:val="18"/>
              </w:rPr>
              <w:t>THB 20,000</w:t>
            </w:r>
          </w:p>
        </w:tc>
        <w:tc>
          <w:tcPr>
            <w:tcW w:type="dxa" w:w="1152"/>
            <w:shd w:fill="FFFFFF"/>
            <w:tcMar>
              <w:top w:w="80" w:type="dxa"/>
              <w:bottom w:w="80" w:type="dxa"/>
              <w:left w:w="80" w:type="dxa"/>
              <w:right w:w="80" w:type="dxa"/>
            </w:tcMar>
          </w:tcPr>
          <w:p>
            <w:pPr>
              <w:spacing w:before="40" w:after="40"/>
              <w:jc w:val="center"/>
            </w:pPr>
            <w:r>
              <w:rPr>
                <w:rFonts w:ascii="Arial" w:hAnsi="Arial"/>
                <w:color w:val="333333"/>
                <w:sz w:val="18"/>
              </w:rPr>
              <w:t>20%</w:t>
            </w:r>
          </w:p>
        </w:tc>
        <w:tc>
          <w:tcPr>
            <w:tcW w:type="dxa" w:w="2592"/>
            <w:shd w:fill="FFFFFF"/>
            <w:tcMar>
              <w:top w:w="80" w:type="dxa"/>
              <w:bottom w:w="80" w:type="dxa"/>
              <w:left w:w="80" w:type="dxa"/>
              <w:right w:w="80" w:type="dxa"/>
            </w:tcMar>
          </w:tcPr>
          <w:p>
            <w:pPr>
              <w:spacing w:before="40" w:after="40"/>
              <w:jc w:val="center"/>
            </w:pPr>
            <w:r>
              <w:rPr>
                <w:rFonts w:ascii="Arial" w:hAnsi="Arial"/>
                <w:color w:val="333333"/>
                <w:sz w:val="18"/>
              </w:rPr>
              <w:t>Collaborative Dynamic Catalog Ads to Marketplace Stores</w:t>
            </w:r>
          </w:p>
        </w:tc>
        <w:tc>
          <w:tcPr>
            <w:tcW w:type="dxa" w:w="2304"/>
            <w:shd w:fill="FFFFFF"/>
            <w:tcMar>
              <w:top w:w="80" w:type="dxa"/>
              <w:bottom w:w="80" w:type="dxa"/>
              <w:left w:w="80" w:type="dxa"/>
              <w:right w:w="80" w:type="dxa"/>
            </w:tcMar>
          </w:tcPr>
          <w:p>
            <w:pPr>
              <w:spacing w:before="40" w:after="40"/>
              <w:jc w:val="center"/>
            </w:pPr>
            <w:r>
              <w:rPr>
                <w:rFonts w:ascii="Arial" w:hAnsi="Arial"/>
                <w:color w:val="333333"/>
                <w:sz w:val="18"/>
              </w:rPr>
              <w:t>Marketplace ROAS &amp; Volume Sales</w:t>
            </w:r>
          </w:p>
        </w:tc>
      </w:tr>
      <w:tr>
        <w:tc>
          <w:tcPr>
            <w:tcW w:type="dxa" w:w="2304"/>
            <w:shd w:fill="F9FBFB"/>
            <w:tcMar>
              <w:top w:w="80" w:type="dxa"/>
              <w:bottom w:w="80" w:type="dxa"/>
              <w:left w:w="80" w:type="dxa"/>
              <w:right w:w="80" w:type="dxa"/>
            </w:tcMar>
          </w:tcPr>
          <w:p>
            <w:pPr>
              <w:spacing w:before="40" w:after="40"/>
              <w:jc w:val="left"/>
            </w:pPr>
            <w:r>
              <w:rPr>
                <w:rFonts w:ascii="Arial" w:hAnsi="Arial"/>
                <w:color w:val="333333"/>
                <w:sz w:val="18"/>
              </w:rPr>
              <w:t>TikTok Web Conversion</w:t>
            </w:r>
          </w:p>
        </w:tc>
        <w:tc>
          <w:tcPr>
            <w:tcW w:type="dxa" w:w="1728"/>
            <w:shd w:fill="F9FBFB"/>
            <w:tcMar>
              <w:top w:w="80" w:type="dxa"/>
              <w:bottom w:w="80" w:type="dxa"/>
              <w:left w:w="80" w:type="dxa"/>
              <w:right w:w="80" w:type="dxa"/>
            </w:tcMar>
          </w:tcPr>
          <w:p>
            <w:pPr>
              <w:spacing w:before="40" w:after="40"/>
              <w:jc w:val="center"/>
            </w:pPr>
            <w:r>
              <w:rPr>
                <w:rFonts w:ascii="Arial" w:hAnsi="Arial"/>
                <w:color w:val="333333"/>
                <w:sz w:val="18"/>
              </w:rPr>
              <w:t>THB 15,000</w:t>
            </w:r>
          </w:p>
        </w:tc>
        <w:tc>
          <w:tcPr>
            <w:tcW w:type="dxa" w:w="1152"/>
            <w:shd w:fill="F9FBFB"/>
            <w:tcMar>
              <w:top w:w="80" w:type="dxa"/>
              <w:bottom w:w="80" w:type="dxa"/>
              <w:left w:w="80" w:type="dxa"/>
              <w:right w:w="80" w:type="dxa"/>
            </w:tcMar>
          </w:tcPr>
          <w:p>
            <w:pPr>
              <w:spacing w:before="40" w:after="40"/>
              <w:jc w:val="center"/>
            </w:pPr>
            <w:r>
              <w:rPr>
                <w:rFonts w:ascii="Arial" w:hAnsi="Arial"/>
                <w:color w:val="333333"/>
                <w:sz w:val="18"/>
              </w:rPr>
              <w:t>15%</w:t>
            </w:r>
          </w:p>
        </w:tc>
        <w:tc>
          <w:tcPr>
            <w:tcW w:type="dxa" w:w="2592"/>
            <w:shd w:fill="F9FBFB"/>
            <w:tcMar>
              <w:top w:w="80" w:type="dxa"/>
              <w:bottom w:w="80" w:type="dxa"/>
              <w:left w:w="80" w:type="dxa"/>
              <w:right w:w="80" w:type="dxa"/>
            </w:tcMar>
          </w:tcPr>
          <w:p>
            <w:pPr>
              <w:spacing w:before="40" w:after="40"/>
              <w:jc w:val="center"/>
            </w:pPr>
            <w:r>
              <w:rPr>
                <w:rFonts w:ascii="Arial" w:hAnsi="Arial"/>
                <w:color w:val="333333"/>
                <w:sz w:val="18"/>
              </w:rPr>
              <w:t>TikTok Web Pixel, Spark Ads to Shopify Product Pages</w:t>
            </w:r>
          </w:p>
        </w:tc>
        <w:tc>
          <w:tcPr>
            <w:tcW w:type="dxa" w:w="2304"/>
            <w:shd w:fill="F9FBFB"/>
            <w:tcMar>
              <w:top w:w="80" w:type="dxa"/>
              <w:bottom w:w="80" w:type="dxa"/>
              <w:left w:w="80" w:type="dxa"/>
              <w:right w:w="80" w:type="dxa"/>
            </w:tcMar>
          </w:tcPr>
          <w:p>
            <w:pPr>
              <w:spacing w:before="40" w:after="40"/>
              <w:jc w:val="center"/>
            </w:pPr>
            <w:r>
              <w:rPr>
                <w:rFonts w:ascii="Arial" w:hAnsi="Arial"/>
                <w:color w:val="333333"/>
                <w:sz w:val="18"/>
              </w:rPr>
              <w:t>Direct Web Orders &amp; Youth Conversions</w:t>
            </w:r>
          </w:p>
        </w:tc>
      </w:tr>
      <w:tr>
        <w:tc>
          <w:tcPr>
            <w:tcW w:type="dxa" w:w="2304"/>
            <w:shd w:fill="FFFFFF"/>
            <w:tcMar>
              <w:top w:w="80" w:type="dxa"/>
              <w:bottom w:w="80" w:type="dxa"/>
              <w:left w:w="80" w:type="dxa"/>
              <w:right w:w="80" w:type="dxa"/>
            </w:tcMar>
          </w:tcPr>
          <w:p>
            <w:pPr>
              <w:spacing w:before="40" w:after="40"/>
              <w:jc w:val="left"/>
            </w:pPr>
            <w:r>
              <w:rPr>
                <w:rFonts w:ascii="Arial" w:hAnsi="Arial"/>
                <w:color w:val="333333"/>
                <w:sz w:val="18"/>
              </w:rPr>
              <w:t>Total Media Budget</w:t>
            </w:r>
          </w:p>
        </w:tc>
        <w:tc>
          <w:tcPr>
            <w:tcW w:type="dxa" w:w="1728"/>
            <w:shd w:fill="FFFFFF"/>
            <w:tcMar>
              <w:top w:w="80" w:type="dxa"/>
              <w:bottom w:w="80" w:type="dxa"/>
              <w:left w:w="80" w:type="dxa"/>
              <w:right w:w="80" w:type="dxa"/>
            </w:tcMar>
          </w:tcPr>
          <w:p>
            <w:pPr>
              <w:spacing w:before="40" w:after="40"/>
              <w:jc w:val="center"/>
            </w:pPr>
            <w:r>
              <w:rPr>
                <w:rFonts w:ascii="Arial" w:hAnsi="Arial"/>
                <w:color w:val="333333"/>
                <w:sz w:val="18"/>
              </w:rPr>
              <w:t>THB 100,000</w:t>
            </w:r>
          </w:p>
        </w:tc>
        <w:tc>
          <w:tcPr>
            <w:tcW w:type="dxa" w:w="1152"/>
            <w:shd w:fill="FFFFFF"/>
            <w:tcMar>
              <w:top w:w="80" w:type="dxa"/>
              <w:bottom w:w="80" w:type="dxa"/>
              <w:left w:w="80" w:type="dxa"/>
              <w:right w:w="80" w:type="dxa"/>
            </w:tcMar>
          </w:tcPr>
          <w:p>
            <w:pPr>
              <w:spacing w:before="40" w:after="40"/>
              <w:jc w:val="center"/>
            </w:pPr>
            <w:r>
              <w:rPr>
                <w:rFonts w:ascii="Arial" w:hAnsi="Arial"/>
                <w:color w:val="333333"/>
                <w:sz w:val="18"/>
              </w:rPr>
              <w:t>100%</w:t>
            </w:r>
          </w:p>
        </w:tc>
        <w:tc>
          <w:tcPr>
            <w:tcW w:type="dxa" w:w="2592"/>
            <w:shd w:fill="FFFFFF"/>
            <w:tcMar>
              <w:top w:w="80" w:type="dxa"/>
              <w:bottom w:w="80" w:type="dxa"/>
              <w:left w:w="80" w:type="dxa"/>
              <w:right w:w="80" w:type="dxa"/>
            </w:tcMar>
          </w:tcPr>
          <w:p>
            <w:pPr>
              <w:spacing w:before="40" w:after="40"/>
              <w:jc w:val="center"/>
            </w:pPr>
            <w:r>
              <w:rPr>
                <w:rFonts w:ascii="Arial" w:hAnsi="Arial"/>
                <w:color w:val="333333"/>
                <w:sz w:val="18"/>
              </w:rPr>
              <w:t>Full-Funnel E-Commerce Growth Stack</w:t>
            </w:r>
          </w:p>
        </w:tc>
        <w:tc>
          <w:tcPr>
            <w:tcW w:type="dxa" w:w="2304"/>
            <w:shd w:fill="FFFFFF"/>
            <w:tcMar>
              <w:top w:w="80" w:type="dxa"/>
              <w:bottom w:w="80" w:type="dxa"/>
              <w:left w:w="80" w:type="dxa"/>
              <w:right w:w="80" w:type="dxa"/>
            </w:tcMar>
          </w:tcPr>
          <w:p>
            <w:pPr>
              <w:spacing w:before="40" w:after="40"/>
              <w:jc w:val="center"/>
            </w:pPr>
            <w:r>
              <w:rPr>
                <w:rFonts w:ascii="Arial" w:hAnsi="Arial"/>
                <w:color w:val="333333"/>
                <w:sz w:val="18"/>
              </w:rPr>
              <w:t>Omnichannel Brand Growth</w:t>
            </w:r>
          </w:p>
        </w:tc>
      </w:tr>
    </w:tbl>
    <w:p>
      <w:pPr>
        <w:spacing w:before="320" w:after="120"/>
      </w:pPr>
      <w:r>
        <w:rPr>
          <w:rFonts w:ascii="Arial" w:hAnsi="Arial"/>
          <w:b/>
          <w:color w:val="021E18"/>
          <w:sz w:val="30"/>
        </w:rPr>
        <w:t>5. Deep Dive: CPAS (Collaborative Performance Advertising Solution)</w:t>
      </w:r>
    </w:p>
    <w:p>
      <w:pPr>
        <w:spacing w:before="40" w:after="100" w:line="276" w:lineRule="auto"/>
      </w:pPr>
      <w:r>
        <w:rPr>
          <w:rFonts w:ascii="Arial" w:hAnsi="Arial"/>
          <w:color w:val="333333"/>
          <w:sz w:val="20"/>
        </w:rPr>
        <w:t>CPAS enables U.S. Polo Assn. Thailand to run co-branded Meta ads directly linked to its official Shopee and Lazada brand stores. Meta dynamic ads display real-time inventory, pricing, and personalized product recommendations to users based on their marketplace browsing behavior.</w:t>
      </w:r>
    </w:p>
    <w:p>
      <w:pPr>
        <w:spacing w:before="240" w:after="80"/>
      </w:pPr>
      <w:r>
        <w:rPr>
          <w:rFonts w:ascii="Arial" w:hAnsi="Arial"/>
          <w:b/>
          <w:color w:val="003B2D"/>
          <w:sz w:val="25"/>
        </w:rPr>
        <w:t>Strategic Benefits of CPAS</w:t>
      </w:r>
    </w:p>
    <w:p>
      <w:pPr>
        <w:pStyle w:val="ListBullet"/>
        <w:spacing w:before="20" w:after="60" w:line="276" w:lineRule="auto"/>
      </w:pPr>
      <w:r>
        <w:rPr>
          <w:rFonts w:ascii="Arial" w:hAnsi="Arial"/>
          <w:b/>
          <w:color w:val="222222"/>
          <w:sz w:val="20"/>
        </w:rPr>
        <w:t xml:space="preserve">• High Conversion Rate: </w:t>
      </w:r>
      <w:r>
        <w:rPr>
          <w:rFonts w:ascii="Arial" w:hAnsi="Arial"/>
          <w:color w:val="333333"/>
          <w:sz w:val="20"/>
        </w:rPr>
        <w:t>Leverages Shopee/Lazada's high trust, local payment methods, and established consumer purchasing habits in Thailand.</w:t>
      </w:r>
    </w:p>
    <w:p>
      <w:pPr>
        <w:pStyle w:val="ListBullet"/>
        <w:spacing w:before="20" w:after="60" w:line="276" w:lineRule="auto"/>
      </w:pPr>
      <w:r>
        <w:rPr>
          <w:rFonts w:ascii="Arial" w:hAnsi="Arial"/>
          <w:b/>
          <w:color w:val="222222"/>
          <w:sz w:val="20"/>
        </w:rPr>
        <w:t xml:space="preserve">• Automated Dynamic Retargeting: </w:t>
      </w:r>
      <w:r>
        <w:rPr>
          <w:rFonts w:ascii="Arial" w:hAnsi="Arial"/>
          <w:color w:val="333333"/>
          <w:sz w:val="20"/>
        </w:rPr>
        <w:t>Runs Meta Dynamic Product Ads (DPA) targeting users who viewed or added items to cart on Shopee/Lazada without purchasing.</w:t>
      </w:r>
    </w:p>
    <w:p>
      <w:pPr>
        <w:pStyle w:val="ListBullet"/>
        <w:spacing w:before="20" w:after="60" w:line="276" w:lineRule="auto"/>
      </w:pPr>
      <w:r>
        <w:rPr>
          <w:rFonts w:ascii="Arial" w:hAnsi="Arial"/>
          <w:b/>
          <w:color w:val="222222"/>
          <w:sz w:val="20"/>
        </w:rPr>
        <w:t xml:space="preserve">• Full Purchase Attribution: </w:t>
      </w:r>
      <w:r>
        <w:rPr>
          <w:rFonts w:ascii="Arial" w:hAnsi="Arial"/>
          <w:color w:val="333333"/>
          <w:sz w:val="20"/>
        </w:rPr>
        <w:t>Closed-loop conversion reporting inside Meta Business Manager showing exact sales revenue and CPAS ROAS.</w:t>
      </w:r>
    </w:p>
    <w:p>
      <w:pPr>
        <w:spacing w:before="240" w:after="80"/>
      </w:pPr>
      <w:r>
        <w:rPr>
          <w:rFonts w:ascii="Arial" w:hAnsi="Arial"/>
          <w:b/>
          <w:color w:val="003B2D"/>
          <w:sz w:val="25"/>
        </w:rPr>
        <w:t>CPAS Setup Requirements &amp; Prerequisites</w:t>
      </w:r>
    </w:p>
    <w:p>
      <w:pPr>
        <w:pStyle w:val="ListBullet"/>
        <w:spacing w:before="20" w:after="60" w:line="276" w:lineRule="auto"/>
      </w:pPr>
      <w:r>
        <w:rPr>
          <w:rFonts w:ascii="Arial" w:hAnsi="Arial"/>
          <w:b/>
          <w:color w:val="222222"/>
          <w:sz w:val="20"/>
        </w:rPr>
        <w:t xml:space="preserve">1. Partner Agreement: </w:t>
      </w:r>
      <w:r>
        <w:rPr>
          <w:rFonts w:ascii="Arial" w:hAnsi="Arial"/>
          <w:color w:val="333333"/>
          <w:sz w:val="20"/>
        </w:rPr>
        <w:t>Request CPAS Shared Catalog access from Shopee / Lazada Brand Portal team.</w:t>
      </w:r>
    </w:p>
    <w:p>
      <w:pPr>
        <w:pStyle w:val="ListBullet"/>
        <w:spacing w:before="20" w:after="60" w:line="276" w:lineRule="auto"/>
      </w:pPr>
      <w:r>
        <w:rPr>
          <w:rFonts w:ascii="Arial" w:hAnsi="Arial"/>
          <w:b/>
          <w:color w:val="222222"/>
          <w:sz w:val="20"/>
        </w:rPr>
        <w:t xml:space="preserve">2. Meta Business Manager Linkage: </w:t>
      </w:r>
      <w:r>
        <w:rPr>
          <w:rFonts w:ascii="Arial" w:hAnsi="Arial"/>
          <w:color w:val="333333"/>
          <w:sz w:val="20"/>
        </w:rPr>
        <w:t>Accept catalog share in Meta Business Manager and assign access to Fresh Digital agency assets.</w:t>
      </w:r>
    </w:p>
    <w:p>
      <w:pPr>
        <w:pStyle w:val="ListBullet"/>
        <w:spacing w:before="20" w:after="60" w:line="276" w:lineRule="auto"/>
      </w:pPr>
      <w:r>
        <w:rPr>
          <w:rFonts w:ascii="Arial" w:hAnsi="Arial"/>
          <w:b/>
          <w:color w:val="222222"/>
          <w:sz w:val="20"/>
        </w:rPr>
        <w:t xml:space="preserve">3. Marketplace Product Feed Hygiene: </w:t>
      </w:r>
      <w:r>
        <w:rPr>
          <w:rFonts w:ascii="Arial" w:hAnsi="Arial"/>
          <w:color w:val="333333"/>
          <w:sz w:val="20"/>
        </w:rPr>
        <w:t>Ensure product SKUs, stock levels, high-res image assets, and THB pricing are perfectly synchronized daily.</w:t>
      </w:r>
    </w:p>
    <w:p>
      <w:pPr>
        <w:spacing w:before="320" w:after="120"/>
      </w:pPr>
      <w:r>
        <w:rPr>
          <w:rFonts w:ascii="Arial" w:hAnsi="Arial"/>
          <w:b/>
          <w:color w:val="021E18"/>
          <w:sz w:val="30"/>
        </w:rPr>
        <w:t>6. Deep Dive: Google Shopping Ads &amp; Performance Max Strategy</w:t>
      </w:r>
    </w:p>
    <w:p>
      <w:pPr>
        <w:spacing w:before="40" w:after="100" w:line="276" w:lineRule="auto"/>
      </w:pPr>
      <w:r>
        <w:rPr>
          <w:rFonts w:ascii="Arial" w:hAnsi="Arial"/>
          <w:color w:val="333333"/>
          <w:sz w:val="20"/>
        </w:rPr>
        <w:t>Google Shopping Ads present visual product listings (image, brand, product title, price) directly at the top of Google Search results when Thai consumers query high-intent keywords like 'เสื้อโปโล U.S. Polo', 'polo shirt men', or 'เสื้อโปโลแท้'.</w:t>
      </w:r>
    </w:p>
    <w:p>
      <w:pPr>
        <w:spacing w:before="240" w:after="80"/>
      </w:pPr>
      <w:r>
        <w:rPr>
          <w:rFonts w:ascii="Arial" w:hAnsi="Arial"/>
          <w:b/>
          <w:color w:val="003B2D"/>
          <w:sz w:val="25"/>
        </w:rPr>
        <w:t>Google Shopping Architecture</w:t>
      </w:r>
    </w:p>
    <w:p>
      <w:pPr>
        <w:pStyle w:val="ListBullet"/>
        <w:spacing w:before="20" w:after="60" w:line="276" w:lineRule="auto"/>
      </w:pPr>
      <w:r>
        <w:rPr>
          <w:rFonts w:ascii="Arial" w:hAnsi="Arial"/>
          <w:b/>
          <w:color w:val="222222"/>
          <w:sz w:val="20"/>
        </w:rPr>
        <w:t xml:space="preserve">• Shopify GMC Integration: </w:t>
      </w:r>
      <w:r>
        <w:rPr>
          <w:rFonts w:ascii="Arial" w:hAnsi="Arial"/>
          <w:color w:val="333333"/>
          <w:sz w:val="20"/>
        </w:rPr>
        <w:t>Connects Shopify directly to Google Merchant Center (GMC) via the official Shopify Google Channel app, enabling automatic real-time product feed sync.</w:t>
      </w:r>
    </w:p>
    <w:p>
      <w:pPr>
        <w:pStyle w:val="ListBullet"/>
        <w:spacing w:before="20" w:after="60" w:line="276" w:lineRule="auto"/>
      </w:pPr>
      <w:r>
        <w:rPr>
          <w:rFonts w:ascii="Arial" w:hAnsi="Arial"/>
          <w:b/>
          <w:color w:val="222222"/>
          <w:sz w:val="20"/>
        </w:rPr>
        <w:t xml:space="preserve">• Performance Max (PMax) for Retail: </w:t>
      </w:r>
      <w:r>
        <w:rPr>
          <w:rFonts w:ascii="Arial" w:hAnsi="Arial"/>
          <w:color w:val="333333"/>
          <w:sz w:val="20"/>
        </w:rPr>
        <w:t>Combines Google Shopping, Search, Display, YouTube, and Discovery into a single AI-driven campaign optimizing for target ROAS.</w:t>
      </w:r>
    </w:p>
    <w:p>
      <w:pPr>
        <w:pStyle w:val="ListBullet"/>
        <w:spacing w:before="20" w:after="60" w:line="276" w:lineRule="auto"/>
      </w:pPr>
      <w:r>
        <w:rPr>
          <w:rFonts w:ascii="Arial" w:hAnsi="Arial"/>
          <w:b/>
          <w:color w:val="222222"/>
          <w:sz w:val="20"/>
        </w:rPr>
        <w:t xml:space="preserve">• Branded &amp; Category Search Defenses: </w:t>
      </w:r>
      <w:r>
        <w:rPr>
          <w:rFonts w:ascii="Arial" w:hAnsi="Arial"/>
          <w:color w:val="333333"/>
          <w:sz w:val="20"/>
        </w:rPr>
        <w:t>Complemented by tight Brand &amp; Apparel Exact/Phrase Search campaigns to defend brand keywords and capture specific high-value apparel queries.</w:t>
      </w:r>
    </w:p>
    <w:p>
      <w:pPr>
        <w:spacing w:before="240" w:after="80"/>
      </w:pPr>
      <w:r>
        <w:rPr>
          <w:rFonts w:ascii="Arial" w:hAnsi="Arial"/>
          <w:b/>
          <w:color w:val="003B2D"/>
          <w:sz w:val="25"/>
        </w:rPr>
        <w:t>Google Shopping Setup Requirements &amp; Prerequisites</w:t>
      </w:r>
    </w:p>
    <w:p>
      <w:pPr>
        <w:pStyle w:val="ListBullet"/>
        <w:spacing w:before="20" w:after="60" w:line="276" w:lineRule="auto"/>
      </w:pPr>
      <w:r>
        <w:rPr>
          <w:rFonts w:ascii="Arial" w:hAnsi="Arial"/>
          <w:b/>
          <w:color w:val="222222"/>
          <w:sz w:val="20"/>
        </w:rPr>
        <w:t xml:space="preserve">1. Google Merchant Center (GMC): </w:t>
      </w:r>
      <w:r>
        <w:rPr>
          <w:rFonts w:ascii="Arial" w:hAnsi="Arial"/>
          <w:color w:val="333333"/>
          <w:sz w:val="20"/>
        </w:rPr>
        <w:t>Set up GMC account, claim and verify Shopify domain (`uspoloassn.co.th` or approved domain).</w:t>
      </w:r>
    </w:p>
    <w:p>
      <w:pPr>
        <w:pStyle w:val="ListBullet"/>
        <w:spacing w:before="20" w:after="60" w:line="276" w:lineRule="auto"/>
      </w:pPr>
      <w:r>
        <w:rPr>
          <w:rFonts w:ascii="Arial" w:hAnsi="Arial"/>
          <w:b/>
          <w:color w:val="222222"/>
          <w:sz w:val="20"/>
        </w:rPr>
        <w:t xml:space="preserve">2. Policy &amp; Compliance Verification: </w:t>
      </w:r>
      <w:r>
        <w:rPr>
          <w:rFonts w:ascii="Arial" w:hAnsi="Arial"/>
          <w:color w:val="333333"/>
          <w:sz w:val="20"/>
        </w:rPr>
        <w:t>Ensure compliance with Google Shopping policies (clear return policy, visible contact information, secure HTTPS checkout, transparent shipping fees).</w:t>
      </w:r>
    </w:p>
    <w:p>
      <w:pPr>
        <w:pStyle w:val="ListBullet"/>
        <w:spacing w:before="20" w:after="60" w:line="276" w:lineRule="auto"/>
      </w:pPr>
      <w:r>
        <w:rPr>
          <w:rFonts w:ascii="Arial" w:hAnsi="Arial"/>
          <w:b/>
          <w:color w:val="222222"/>
          <w:sz w:val="20"/>
        </w:rPr>
        <w:t xml:space="preserve">3. Product Feed Optimization: </w:t>
      </w:r>
      <w:r>
        <w:rPr>
          <w:rFonts w:ascii="Arial" w:hAnsi="Arial"/>
          <w:color w:val="333333"/>
          <w:sz w:val="20"/>
        </w:rPr>
        <w:t>Optimize product titles (e.g. 'U.S. Polo Assn. - เสื้อโปโลผู้ชาย รุ่น Classic Fit สีส้ม'), ensure high-quality white-background product images, assign barcode/GTIN identifiers.</w:t>
      </w:r>
    </w:p>
    <w:p>
      <w:pPr>
        <w:pStyle w:val="ListBullet"/>
        <w:spacing w:before="20" w:after="60" w:line="276" w:lineRule="auto"/>
      </w:pPr>
      <w:r>
        <w:rPr>
          <w:rFonts w:ascii="Arial" w:hAnsi="Arial"/>
          <w:b/>
          <w:color w:val="222222"/>
          <w:sz w:val="20"/>
        </w:rPr>
        <w:t xml:space="preserve">4. Advanced Purchase Tracking: </w:t>
      </w:r>
      <w:r>
        <w:rPr>
          <w:rFonts w:ascii="Arial" w:hAnsi="Arial"/>
          <w:color w:val="333333"/>
          <w:sz w:val="20"/>
        </w:rPr>
        <w:t>Deploy GTM with native Google Ads Purchase conversion tags and Enhanced Conversions for accurate revenue tracking.</w:t>
      </w:r>
    </w:p>
    <w:p>
      <w:pPr>
        <w:spacing w:before="320" w:after="120"/>
      </w:pPr>
      <w:r>
        <w:rPr>
          <w:rFonts w:ascii="Arial" w:hAnsi="Arial"/>
          <w:b/>
          <w:color w:val="021E18"/>
          <w:sz w:val="30"/>
        </w:rPr>
        <w:t>7. Implementation Timeline &amp; Technical Setup Roadmap</w:t>
      </w:r>
    </w:p>
    <w:p>
      <w:pPr>
        <w:spacing w:before="40" w:after="100" w:line="276" w:lineRule="auto"/>
      </w:pPr>
      <w:r>
        <w:rPr>
          <w:rFonts w:ascii="Arial" w:hAnsi="Arial"/>
          <w:color w:val="333333"/>
          <w:sz w:val="20"/>
        </w:rPr>
        <w:t>To ensure a flawless launch in August and seamless e-commerce transition in October, the following 90-day timeline will be executed:</w:t>
      </w:r>
    </w:p>
    <w:tbl>
      <w:tblPr>
        <w:tblW w:type="auto" w:w="0"/>
        <w:jc w:val="center"/>
        <w:tblLook w:firstColumn="1" w:firstRow="1" w:lastColumn="0" w:lastRow="0" w:noHBand="0" w:noVBand="1" w:val="04A0"/>
      </w:tblPr>
      <w:tblGrid>
        <w:gridCol w:w="2484"/>
        <w:gridCol w:w="2484"/>
        <w:gridCol w:w="2484"/>
        <w:gridCol w:w="2484"/>
      </w:tblGrid>
      <w:tr>
        <w:tc>
          <w:tcPr>
            <w:tcW w:type="dxa" w:w="2016"/>
            <w:shd w:fill="003B2D"/>
            <w:tcMar>
              <w:top w:w="100" w:type="dxa"/>
              <w:bottom w:w="100" w:type="dxa"/>
              <w:left w:w="100" w:type="dxa"/>
              <w:right w:w="100" w:type="dxa"/>
            </w:tcMar>
          </w:tcPr>
          <w:p>
            <w:pPr>
              <w:jc w:val="center"/>
            </w:pPr>
            <w:r>
              <w:rPr>
                <w:rFonts w:ascii="Arial" w:hAnsi="Arial"/>
                <w:b/>
                <w:color w:val="FFFFFF"/>
                <w:sz w:val="19"/>
              </w:rPr>
              <w:t>Timeline</w:t>
            </w:r>
          </w:p>
        </w:tc>
        <w:tc>
          <w:tcPr>
            <w:tcW w:type="dxa" w:w="2016"/>
            <w:shd w:fill="003B2D"/>
            <w:tcMar>
              <w:top w:w="100" w:type="dxa"/>
              <w:bottom w:w="100" w:type="dxa"/>
              <w:left w:w="100" w:type="dxa"/>
              <w:right w:w="100" w:type="dxa"/>
            </w:tcMar>
          </w:tcPr>
          <w:p>
            <w:pPr>
              <w:jc w:val="center"/>
            </w:pPr>
            <w:r>
              <w:rPr>
                <w:rFonts w:ascii="Arial" w:hAnsi="Arial"/>
                <w:b/>
                <w:color w:val="FFFFFF"/>
                <w:sz w:val="19"/>
              </w:rPr>
              <w:t>Phase</w:t>
            </w:r>
          </w:p>
        </w:tc>
        <w:tc>
          <w:tcPr>
            <w:tcW w:type="dxa" w:w="3888"/>
            <w:shd w:fill="003B2D"/>
            <w:tcMar>
              <w:top w:w="100" w:type="dxa"/>
              <w:bottom w:w="100" w:type="dxa"/>
              <w:left w:w="100" w:type="dxa"/>
              <w:right w:w="100" w:type="dxa"/>
            </w:tcMar>
          </w:tcPr>
          <w:p>
            <w:pPr>
              <w:jc w:val="center"/>
            </w:pPr>
            <w:r>
              <w:rPr>
                <w:rFonts w:ascii="Arial" w:hAnsi="Arial"/>
                <w:b/>
                <w:color w:val="FFFFFF"/>
                <w:sz w:val="19"/>
              </w:rPr>
              <w:t>Key Tasks &amp; Technical Deliverables</w:t>
            </w:r>
          </w:p>
        </w:tc>
        <w:tc>
          <w:tcPr>
            <w:tcW w:type="dxa" w:w="2160"/>
            <w:shd w:fill="003B2D"/>
            <w:tcMar>
              <w:top w:w="100" w:type="dxa"/>
              <w:bottom w:w="100" w:type="dxa"/>
              <w:left w:w="100" w:type="dxa"/>
              <w:right w:w="100" w:type="dxa"/>
            </w:tcMar>
          </w:tcPr>
          <w:p>
            <w:pPr>
              <w:jc w:val="center"/>
            </w:pPr>
            <w:r>
              <w:rPr>
                <w:rFonts w:ascii="Arial" w:hAnsi="Arial"/>
                <w:b/>
                <w:color w:val="FFFFFF"/>
                <w:sz w:val="19"/>
              </w:rPr>
              <w:t>Milestones &amp; Sign-offs</w:t>
            </w:r>
          </w:p>
        </w:tc>
      </w:tr>
      <w:tr>
        <w:tc>
          <w:tcPr>
            <w:tcW w:type="dxa" w:w="2016"/>
            <w:shd w:fill="FFFFFF"/>
            <w:tcMar>
              <w:top w:w="80" w:type="dxa"/>
              <w:bottom w:w="80" w:type="dxa"/>
              <w:left w:w="80" w:type="dxa"/>
              <w:right w:w="80" w:type="dxa"/>
            </w:tcMar>
          </w:tcPr>
          <w:p>
            <w:pPr>
              <w:spacing w:before="40" w:after="40"/>
              <w:jc w:val="left"/>
            </w:pPr>
            <w:r>
              <w:rPr>
                <w:rFonts w:ascii="Arial" w:hAnsi="Arial"/>
                <w:color w:val="333333"/>
                <w:sz w:val="18"/>
              </w:rPr>
              <w:t>Weeks 1-2 (Aug)</w:t>
            </w:r>
          </w:p>
        </w:tc>
        <w:tc>
          <w:tcPr>
            <w:tcW w:type="dxa" w:w="2016"/>
            <w:shd w:fill="FFFFFF"/>
            <w:tcMar>
              <w:top w:w="80" w:type="dxa"/>
              <w:bottom w:w="80" w:type="dxa"/>
              <w:left w:w="80" w:type="dxa"/>
              <w:right w:w="80" w:type="dxa"/>
            </w:tcMar>
          </w:tcPr>
          <w:p>
            <w:pPr>
              <w:spacing w:before="40" w:after="40"/>
              <w:jc w:val="center"/>
            </w:pPr>
            <w:r>
              <w:rPr>
                <w:rFonts w:ascii="Arial" w:hAnsi="Arial"/>
                <w:color w:val="333333"/>
                <w:sz w:val="18"/>
              </w:rPr>
              <w:t>Phase 1 Onboarding</w:t>
            </w:r>
          </w:p>
        </w:tc>
        <w:tc>
          <w:tcPr>
            <w:tcW w:type="dxa" w:w="3888"/>
            <w:shd w:fill="FFFFFF"/>
            <w:tcMar>
              <w:top w:w="80" w:type="dxa"/>
              <w:bottom w:w="80" w:type="dxa"/>
              <w:left w:w="80" w:type="dxa"/>
              <w:right w:w="80" w:type="dxa"/>
            </w:tcMar>
          </w:tcPr>
          <w:p>
            <w:pPr>
              <w:spacing w:before="40" w:after="40"/>
              <w:jc w:val="center"/>
            </w:pPr>
            <w:r>
              <w:rPr>
                <w:rFonts w:ascii="Arial" w:hAnsi="Arial"/>
                <w:color w:val="333333"/>
                <w:sz w:val="18"/>
              </w:rPr>
              <w:t>Audit existing Meta/TikTok/LINE accounts, setup Business Manager permissions, install base pixels, draft ad creatives.</w:t>
            </w:r>
          </w:p>
        </w:tc>
        <w:tc>
          <w:tcPr>
            <w:tcW w:type="dxa" w:w="2160"/>
            <w:shd w:fill="FFFFFF"/>
            <w:tcMar>
              <w:top w:w="80" w:type="dxa"/>
              <w:bottom w:w="80" w:type="dxa"/>
              <w:left w:w="80" w:type="dxa"/>
              <w:right w:w="80" w:type="dxa"/>
            </w:tcMar>
          </w:tcPr>
          <w:p>
            <w:pPr>
              <w:spacing w:before="40" w:after="40"/>
              <w:jc w:val="center"/>
            </w:pPr>
            <w:r>
              <w:rPr>
                <w:rFonts w:ascii="Arial" w:hAnsi="Arial"/>
                <w:color w:val="333333"/>
                <w:sz w:val="18"/>
              </w:rPr>
              <w:t>Campaign Launch (Phase 1 Social)</w:t>
            </w:r>
          </w:p>
        </w:tc>
      </w:tr>
      <w:tr>
        <w:tc>
          <w:tcPr>
            <w:tcW w:type="dxa" w:w="2016"/>
            <w:shd w:fill="F9FBFB"/>
            <w:tcMar>
              <w:top w:w="80" w:type="dxa"/>
              <w:bottom w:w="80" w:type="dxa"/>
              <w:left w:w="80" w:type="dxa"/>
              <w:right w:w="80" w:type="dxa"/>
            </w:tcMar>
          </w:tcPr>
          <w:p>
            <w:pPr>
              <w:spacing w:before="40" w:after="40"/>
              <w:jc w:val="left"/>
            </w:pPr>
            <w:r>
              <w:rPr>
                <w:rFonts w:ascii="Arial" w:hAnsi="Arial"/>
                <w:color w:val="333333"/>
                <w:sz w:val="18"/>
              </w:rPr>
              <w:t>Weeks 3-6 (Aug-Sept)</w:t>
            </w:r>
          </w:p>
        </w:tc>
        <w:tc>
          <w:tcPr>
            <w:tcW w:type="dxa" w:w="2016"/>
            <w:shd w:fill="F9FBFB"/>
            <w:tcMar>
              <w:top w:w="80" w:type="dxa"/>
              <w:bottom w:w="80" w:type="dxa"/>
              <w:left w:w="80" w:type="dxa"/>
              <w:right w:w="80" w:type="dxa"/>
            </w:tcMar>
          </w:tcPr>
          <w:p>
            <w:pPr>
              <w:spacing w:before="40" w:after="40"/>
              <w:jc w:val="center"/>
            </w:pPr>
            <w:r>
              <w:rPr>
                <w:rFonts w:ascii="Arial" w:hAnsi="Arial"/>
                <w:color w:val="333333"/>
                <w:sz w:val="18"/>
              </w:rPr>
              <w:t>Phase 1 Optimization</w:t>
            </w:r>
          </w:p>
        </w:tc>
        <w:tc>
          <w:tcPr>
            <w:tcW w:type="dxa" w:w="3888"/>
            <w:shd w:fill="F9FBFB"/>
            <w:tcMar>
              <w:top w:w="80" w:type="dxa"/>
              <w:bottom w:w="80" w:type="dxa"/>
              <w:left w:w="80" w:type="dxa"/>
              <w:right w:w="80" w:type="dxa"/>
            </w:tcMar>
          </w:tcPr>
          <w:p>
            <w:pPr>
              <w:spacing w:before="40" w:after="40"/>
              <w:jc w:val="center"/>
            </w:pPr>
            <w:r>
              <w:rPr>
                <w:rFonts w:ascii="Arial" w:hAnsi="Arial"/>
                <w:color w:val="333333"/>
                <w:sz w:val="18"/>
              </w:rPr>
              <w:t>A/B test creative formats (Reels vs Carousel), optimize LAP LINE OA add-friends, refine custom audience lists.</w:t>
            </w:r>
          </w:p>
        </w:tc>
        <w:tc>
          <w:tcPr>
            <w:tcW w:type="dxa" w:w="2160"/>
            <w:shd w:fill="F9FBFB"/>
            <w:tcMar>
              <w:top w:w="80" w:type="dxa"/>
              <w:bottom w:w="80" w:type="dxa"/>
              <w:left w:w="80" w:type="dxa"/>
              <w:right w:w="80" w:type="dxa"/>
            </w:tcMar>
          </w:tcPr>
          <w:p>
            <w:pPr>
              <w:spacing w:before="40" w:after="40"/>
              <w:jc w:val="center"/>
            </w:pPr>
            <w:r>
              <w:rPr>
                <w:rFonts w:ascii="Arial" w:hAnsi="Arial"/>
                <w:color w:val="333333"/>
                <w:sz w:val="18"/>
              </w:rPr>
              <w:t>Bi-Weekly Performance Review</w:t>
            </w:r>
          </w:p>
        </w:tc>
      </w:tr>
      <w:tr>
        <w:tc>
          <w:tcPr>
            <w:tcW w:type="dxa" w:w="2016"/>
            <w:shd w:fill="FFFFFF"/>
            <w:tcMar>
              <w:top w:w="80" w:type="dxa"/>
              <w:bottom w:w="80" w:type="dxa"/>
              <w:left w:w="80" w:type="dxa"/>
              <w:right w:w="80" w:type="dxa"/>
            </w:tcMar>
          </w:tcPr>
          <w:p>
            <w:pPr>
              <w:spacing w:before="40" w:after="40"/>
              <w:jc w:val="left"/>
            </w:pPr>
            <w:r>
              <w:rPr>
                <w:rFonts w:ascii="Arial" w:hAnsi="Arial"/>
                <w:color w:val="333333"/>
                <w:sz w:val="18"/>
              </w:rPr>
              <w:t>Weeks 7-8 (Sept)</w:t>
            </w:r>
          </w:p>
        </w:tc>
        <w:tc>
          <w:tcPr>
            <w:tcW w:type="dxa" w:w="2016"/>
            <w:shd w:fill="FFFFFF"/>
            <w:tcMar>
              <w:top w:w="80" w:type="dxa"/>
              <w:bottom w:w="80" w:type="dxa"/>
              <w:left w:w="80" w:type="dxa"/>
              <w:right w:w="80" w:type="dxa"/>
            </w:tcMar>
          </w:tcPr>
          <w:p>
            <w:pPr>
              <w:spacing w:before="40" w:after="40"/>
              <w:jc w:val="center"/>
            </w:pPr>
            <w:r>
              <w:rPr>
                <w:rFonts w:ascii="Arial" w:hAnsi="Arial"/>
                <w:color w:val="333333"/>
                <w:sz w:val="18"/>
              </w:rPr>
              <w:t>Phase 2 Preparation</w:t>
            </w:r>
          </w:p>
        </w:tc>
        <w:tc>
          <w:tcPr>
            <w:tcW w:type="dxa" w:w="3888"/>
            <w:shd w:fill="FFFFFF"/>
            <w:tcMar>
              <w:top w:w="80" w:type="dxa"/>
              <w:bottom w:w="80" w:type="dxa"/>
              <w:left w:w="80" w:type="dxa"/>
              <w:right w:w="80" w:type="dxa"/>
            </w:tcMar>
          </w:tcPr>
          <w:p>
            <w:pPr>
              <w:spacing w:before="40" w:after="40"/>
              <w:jc w:val="center"/>
            </w:pPr>
            <w:r>
              <w:rPr>
                <w:rFonts w:ascii="Arial" w:hAnsi="Arial"/>
                <w:color w:val="333333"/>
                <w:sz w:val="18"/>
              </w:rPr>
              <w:t>Set up Google Merchant Center, sync Shopify feed draft, request Shopee/Lazada CPAS catalog sharing, audit GTM &amp; CAPI.</w:t>
            </w:r>
          </w:p>
        </w:tc>
        <w:tc>
          <w:tcPr>
            <w:tcW w:type="dxa" w:w="2160"/>
            <w:shd w:fill="FFFFFF"/>
            <w:tcMar>
              <w:top w:w="80" w:type="dxa"/>
              <w:bottom w:w="80" w:type="dxa"/>
              <w:left w:w="80" w:type="dxa"/>
              <w:right w:w="80" w:type="dxa"/>
            </w:tcMar>
          </w:tcPr>
          <w:p>
            <w:pPr>
              <w:spacing w:before="40" w:after="40"/>
              <w:jc w:val="center"/>
            </w:pPr>
            <w:r>
              <w:rPr>
                <w:rFonts w:ascii="Arial" w:hAnsi="Arial"/>
                <w:color w:val="333333"/>
                <w:sz w:val="18"/>
              </w:rPr>
              <w:t>CPAS &amp; GMC Readiness Sign-off</w:t>
            </w:r>
          </w:p>
        </w:tc>
      </w:tr>
      <w:tr>
        <w:tc>
          <w:tcPr>
            <w:tcW w:type="dxa" w:w="2016"/>
            <w:shd w:fill="F9FBFB"/>
            <w:tcMar>
              <w:top w:w="80" w:type="dxa"/>
              <w:bottom w:w="80" w:type="dxa"/>
              <w:left w:w="80" w:type="dxa"/>
              <w:right w:w="80" w:type="dxa"/>
            </w:tcMar>
          </w:tcPr>
          <w:p>
            <w:pPr>
              <w:spacing w:before="40" w:after="40"/>
              <w:jc w:val="left"/>
            </w:pPr>
            <w:r>
              <w:rPr>
                <w:rFonts w:ascii="Arial" w:hAnsi="Arial"/>
                <w:color w:val="333333"/>
                <w:sz w:val="18"/>
              </w:rPr>
              <w:t>Weeks 9-10 (Mid-Oct)</w:t>
            </w:r>
          </w:p>
        </w:tc>
        <w:tc>
          <w:tcPr>
            <w:tcW w:type="dxa" w:w="2016"/>
            <w:shd w:fill="F9FBFB"/>
            <w:tcMar>
              <w:top w:w="80" w:type="dxa"/>
              <w:bottom w:w="80" w:type="dxa"/>
              <w:left w:w="80" w:type="dxa"/>
              <w:right w:w="80" w:type="dxa"/>
            </w:tcMar>
          </w:tcPr>
          <w:p>
            <w:pPr>
              <w:spacing w:before="40" w:after="40"/>
              <w:jc w:val="center"/>
            </w:pPr>
            <w:r>
              <w:rPr>
                <w:rFonts w:ascii="Arial" w:hAnsi="Arial"/>
                <w:color w:val="333333"/>
                <w:sz w:val="18"/>
              </w:rPr>
              <w:t>Phase 2 Go-Live</w:t>
            </w:r>
          </w:p>
        </w:tc>
        <w:tc>
          <w:tcPr>
            <w:tcW w:type="dxa" w:w="3888"/>
            <w:shd w:fill="F9FBFB"/>
            <w:tcMar>
              <w:top w:w="80" w:type="dxa"/>
              <w:bottom w:w="80" w:type="dxa"/>
              <w:left w:w="80" w:type="dxa"/>
              <w:right w:w="80" w:type="dxa"/>
            </w:tcMar>
          </w:tcPr>
          <w:p>
            <w:pPr>
              <w:spacing w:before="40" w:after="40"/>
              <w:jc w:val="center"/>
            </w:pPr>
            <w:r>
              <w:rPr>
                <w:rFonts w:ascii="Arial" w:hAnsi="Arial"/>
                <w:color w:val="333333"/>
                <w:sz w:val="18"/>
              </w:rPr>
              <w:t>Launch Shopify site, activate Meta Web Conversions, ASC campaigns, Google Shopping/PMax, and CPAS Marketplace ads.</w:t>
            </w:r>
          </w:p>
        </w:tc>
        <w:tc>
          <w:tcPr>
            <w:tcW w:type="dxa" w:w="2160"/>
            <w:shd w:fill="F9FBFB"/>
            <w:tcMar>
              <w:top w:w="80" w:type="dxa"/>
              <w:bottom w:w="80" w:type="dxa"/>
              <w:left w:w="80" w:type="dxa"/>
              <w:right w:w="80" w:type="dxa"/>
            </w:tcMar>
          </w:tcPr>
          <w:p>
            <w:pPr>
              <w:spacing w:before="40" w:after="40"/>
              <w:jc w:val="center"/>
            </w:pPr>
            <w:r>
              <w:rPr>
                <w:rFonts w:ascii="Arial" w:hAnsi="Arial"/>
                <w:color w:val="333333"/>
                <w:sz w:val="18"/>
              </w:rPr>
              <w:t>Full E-Commerce Stack Activation</w:t>
            </w:r>
          </w:p>
        </w:tc>
      </w:tr>
      <w:tr>
        <w:tc>
          <w:tcPr>
            <w:tcW w:type="dxa" w:w="2016"/>
            <w:shd w:fill="FFFFFF"/>
            <w:tcMar>
              <w:top w:w="80" w:type="dxa"/>
              <w:bottom w:w="80" w:type="dxa"/>
              <w:left w:w="80" w:type="dxa"/>
              <w:right w:w="80" w:type="dxa"/>
            </w:tcMar>
          </w:tcPr>
          <w:p>
            <w:pPr>
              <w:spacing w:before="40" w:after="40"/>
              <w:jc w:val="left"/>
            </w:pPr>
            <w:r>
              <w:rPr>
                <w:rFonts w:ascii="Arial" w:hAnsi="Arial"/>
                <w:color w:val="333333"/>
                <w:sz w:val="18"/>
              </w:rPr>
              <w:t>Weeks 11-12 (Nov+)</w:t>
            </w:r>
          </w:p>
        </w:tc>
        <w:tc>
          <w:tcPr>
            <w:tcW w:type="dxa" w:w="2016"/>
            <w:shd w:fill="FFFFFF"/>
            <w:tcMar>
              <w:top w:w="80" w:type="dxa"/>
              <w:bottom w:w="80" w:type="dxa"/>
              <w:left w:w="80" w:type="dxa"/>
              <w:right w:w="80" w:type="dxa"/>
            </w:tcMar>
          </w:tcPr>
          <w:p>
            <w:pPr>
              <w:spacing w:before="40" w:after="40"/>
              <w:jc w:val="center"/>
            </w:pPr>
            <w:r>
              <w:rPr>
                <w:rFonts w:ascii="Arial" w:hAnsi="Arial"/>
                <w:color w:val="333333"/>
                <w:sz w:val="18"/>
              </w:rPr>
              <w:t>Phase 2 Scale</w:t>
            </w:r>
          </w:p>
        </w:tc>
        <w:tc>
          <w:tcPr>
            <w:tcW w:type="dxa" w:w="3888"/>
            <w:shd w:fill="FFFFFF"/>
            <w:tcMar>
              <w:top w:w="80" w:type="dxa"/>
              <w:bottom w:w="80" w:type="dxa"/>
              <w:left w:w="80" w:type="dxa"/>
              <w:right w:w="80" w:type="dxa"/>
            </w:tcMar>
          </w:tcPr>
          <w:p>
            <w:pPr>
              <w:spacing w:before="40" w:after="40"/>
              <w:jc w:val="center"/>
            </w:pPr>
            <w:r>
              <w:rPr>
                <w:rFonts w:ascii="Arial" w:hAnsi="Arial"/>
                <w:color w:val="333333"/>
                <w:sz w:val="18"/>
              </w:rPr>
              <w:t>Optimize ROAS across Web and CPAS, scale winning PMax/ASC ad sets, run dynamic retargeting campaigns.</w:t>
            </w:r>
          </w:p>
        </w:tc>
        <w:tc>
          <w:tcPr>
            <w:tcW w:type="dxa" w:w="2160"/>
            <w:shd w:fill="FFFFFF"/>
            <w:tcMar>
              <w:top w:w="80" w:type="dxa"/>
              <w:bottom w:w="80" w:type="dxa"/>
              <w:left w:w="80" w:type="dxa"/>
              <w:right w:w="80" w:type="dxa"/>
            </w:tcMar>
          </w:tcPr>
          <w:p>
            <w:pPr>
              <w:spacing w:before="40" w:after="40"/>
              <w:jc w:val="center"/>
            </w:pPr>
            <w:r>
              <w:rPr>
                <w:rFonts w:ascii="Arial" w:hAnsi="Arial"/>
                <w:color w:val="333333"/>
                <w:sz w:val="18"/>
              </w:rPr>
              <w:t>Monthly Growth Strategy Review</w:t>
            </w:r>
          </w:p>
        </w:tc>
      </w:tr>
    </w:tbl>
    <w:p>
      <w:pPr>
        <w:spacing w:before="320" w:after="120"/>
      </w:pPr>
      <w:r>
        <w:rPr>
          <w:rFonts w:ascii="Arial" w:hAnsi="Arial"/>
          <w:b/>
          <w:color w:val="021E18"/>
          <w:sz w:val="30"/>
        </w:rPr>
        <w:t>8. KPI Forecast Scenarios (30-Day Monthly Benchmarks)</w:t>
      </w:r>
    </w:p>
    <w:p>
      <w:pPr>
        <w:spacing w:before="40" w:after="100" w:line="276" w:lineRule="auto"/>
      </w:pPr>
      <w:r>
        <w:rPr>
          <w:rFonts w:ascii="Arial" w:hAnsi="Arial"/>
          <w:color w:val="333333"/>
          <w:sz w:val="20"/>
        </w:rPr>
        <w:t>Below are directional forecast scenarios based on THB 100,000 monthly media spend under typical Thai fashion market benchmarks. These scenarios serve as planning indicators and will be validated with live data during the initial 30 days of execution.</w:t>
      </w:r>
    </w:p>
    <w:p>
      <w:pPr>
        <w:spacing w:before="240" w:after="80"/>
      </w:pPr>
      <w:r>
        <w:rPr>
          <w:rFonts w:ascii="Arial" w:hAnsi="Arial"/>
          <w:b/>
          <w:color w:val="003B2D"/>
          <w:sz w:val="25"/>
        </w:rPr>
        <w:t>Phase 1 Forecast: Social Media &amp; Social Commerce (Monthly THB 100,000 Media Budget)</w:t>
      </w:r>
    </w:p>
    <w:tbl>
      <w:tblPr>
        <w:tblW w:type="auto" w:w="0"/>
        <w:jc w:val="center"/>
        <w:tblLook w:firstColumn="1" w:firstRow="1" w:lastColumn="0" w:lastRow="0" w:noHBand="0" w:noVBand="1" w:val="04A0"/>
      </w:tblPr>
      <w:tblGrid>
        <w:gridCol w:w="2484"/>
        <w:gridCol w:w="2484"/>
        <w:gridCol w:w="2484"/>
        <w:gridCol w:w="2484"/>
      </w:tblGrid>
      <w:tr>
        <w:tc>
          <w:tcPr>
            <w:tcW w:type="dxa" w:w="3168"/>
            <w:shd w:fill="003B2D"/>
            <w:tcMar>
              <w:top w:w="100" w:type="dxa"/>
              <w:bottom w:w="100" w:type="dxa"/>
              <w:left w:w="100" w:type="dxa"/>
              <w:right w:w="100" w:type="dxa"/>
            </w:tcMar>
          </w:tcPr>
          <w:p>
            <w:pPr>
              <w:jc w:val="center"/>
            </w:pPr>
            <w:r>
              <w:rPr>
                <w:rFonts w:ascii="Arial" w:hAnsi="Arial"/>
                <w:b/>
                <w:color w:val="FFFFFF"/>
                <w:sz w:val="19"/>
              </w:rPr>
              <w:t>Metric / KPI</w:t>
            </w:r>
          </w:p>
        </w:tc>
        <w:tc>
          <w:tcPr>
            <w:tcW w:type="dxa" w:w="2304"/>
            <w:shd w:fill="003B2D"/>
            <w:tcMar>
              <w:top w:w="100" w:type="dxa"/>
              <w:bottom w:w="100" w:type="dxa"/>
              <w:left w:w="100" w:type="dxa"/>
              <w:right w:w="100" w:type="dxa"/>
            </w:tcMar>
          </w:tcPr>
          <w:p>
            <w:pPr>
              <w:jc w:val="center"/>
            </w:pPr>
            <w:r>
              <w:rPr>
                <w:rFonts w:ascii="Arial" w:hAnsi="Arial"/>
                <w:b/>
                <w:color w:val="FFFFFF"/>
                <w:sz w:val="19"/>
              </w:rPr>
              <w:t>Conservative Scenario</w:t>
            </w:r>
          </w:p>
        </w:tc>
        <w:tc>
          <w:tcPr>
            <w:tcW w:type="dxa" w:w="2304"/>
            <w:shd w:fill="003B2D"/>
            <w:tcMar>
              <w:top w:w="100" w:type="dxa"/>
              <w:bottom w:w="100" w:type="dxa"/>
              <w:left w:w="100" w:type="dxa"/>
              <w:right w:w="100" w:type="dxa"/>
            </w:tcMar>
          </w:tcPr>
          <w:p>
            <w:pPr>
              <w:jc w:val="center"/>
            </w:pPr>
            <w:r>
              <w:rPr>
                <w:rFonts w:ascii="Arial" w:hAnsi="Arial"/>
                <w:b/>
                <w:color w:val="FFFFFF"/>
                <w:sz w:val="19"/>
              </w:rPr>
              <w:t>Base Target Scenario</w:t>
            </w:r>
          </w:p>
        </w:tc>
        <w:tc>
          <w:tcPr>
            <w:tcW w:type="dxa" w:w="2304"/>
            <w:shd w:fill="003B2D"/>
            <w:tcMar>
              <w:top w:w="100" w:type="dxa"/>
              <w:bottom w:w="100" w:type="dxa"/>
              <w:left w:w="100" w:type="dxa"/>
              <w:right w:w="100" w:type="dxa"/>
            </w:tcMar>
          </w:tcPr>
          <w:p>
            <w:pPr>
              <w:jc w:val="center"/>
            </w:pPr>
            <w:r>
              <w:rPr>
                <w:rFonts w:ascii="Arial" w:hAnsi="Arial"/>
                <w:b/>
                <w:color w:val="FFFFFF"/>
                <w:sz w:val="19"/>
              </w:rPr>
              <w:t>Stretch Scenario</w:t>
            </w:r>
          </w:p>
        </w:tc>
      </w:tr>
      <w:tr>
        <w:tc>
          <w:tcPr>
            <w:tcW w:type="dxa" w:w="3168"/>
            <w:shd w:fill="FFFFFF"/>
            <w:tcMar>
              <w:top w:w="80" w:type="dxa"/>
              <w:bottom w:w="80" w:type="dxa"/>
              <w:left w:w="80" w:type="dxa"/>
              <w:right w:w="80" w:type="dxa"/>
            </w:tcMar>
          </w:tcPr>
          <w:p>
            <w:pPr>
              <w:spacing w:before="40" w:after="40"/>
              <w:jc w:val="left"/>
            </w:pPr>
            <w:r>
              <w:rPr>
                <w:rFonts w:ascii="Arial" w:hAnsi="Arial"/>
                <w:color w:val="333333"/>
                <w:sz w:val="18"/>
              </w:rPr>
              <w:t>Total Ad Impressions</w:t>
            </w:r>
          </w:p>
        </w:tc>
        <w:tc>
          <w:tcPr>
            <w:tcW w:type="dxa" w:w="2304"/>
            <w:shd w:fill="FFFFFF"/>
            <w:tcMar>
              <w:top w:w="80" w:type="dxa"/>
              <w:bottom w:w="80" w:type="dxa"/>
              <w:left w:w="80" w:type="dxa"/>
              <w:right w:w="80" w:type="dxa"/>
            </w:tcMar>
          </w:tcPr>
          <w:p>
            <w:pPr>
              <w:spacing w:before="40" w:after="40"/>
              <w:jc w:val="center"/>
            </w:pPr>
            <w:r>
              <w:rPr>
                <w:rFonts w:ascii="Arial" w:hAnsi="Arial"/>
                <w:color w:val="333333"/>
                <w:sz w:val="18"/>
              </w:rPr>
              <w:t>1,800,000</w:t>
            </w:r>
          </w:p>
        </w:tc>
        <w:tc>
          <w:tcPr>
            <w:tcW w:type="dxa" w:w="2304"/>
            <w:shd w:fill="FFFFFF"/>
            <w:tcMar>
              <w:top w:w="80" w:type="dxa"/>
              <w:bottom w:w="80" w:type="dxa"/>
              <w:left w:w="80" w:type="dxa"/>
              <w:right w:w="80" w:type="dxa"/>
            </w:tcMar>
          </w:tcPr>
          <w:p>
            <w:pPr>
              <w:spacing w:before="40" w:after="40"/>
              <w:jc w:val="center"/>
            </w:pPr>
            <w:r>
              <w:rPr>
                <w:rFonts w:ascii="Arial" w:hAnsi="Arial"/>
                <w:color w:val="333333"/>
                <w:sz w:val="18"/>
              </w:rPr>
              <w:t>2,400,000</w:t>
            </w:r>
          </w:p>
        </w:tc>
        <w:tc>
          <w:tcPr>
            <w:tcW w:type="dxa" w:w="2304"/>
            <w:shd w:fill="FFFFFF"/>
            <w:tcMar>
              <w:top w:w="80" w:type="dxa"/>
              <w:bottom w:w="80" w:type="dxa"/>
              <w:left w:w="80" w:type="dxa"/>
              <w:right w:w="80" w:type="dxa"/>
            </w:tcMar>
          </w:tcPr>
          <w:p>
            <w:pPr>
              <w:spacing w:before="40" w:after="40"/>
              <w:jc w:val="center"/>
            </w:pPr>
            <w:r>
              <w:rPr>
                <w:rFonts w:ascii="Arial" w:hAnsi="Arial"/>
                <w:color w:val="333333"/>
                <w:sz w:val="18"/>
              </w:rPr>
              <w:t>3,000,000</w:t>
            </w:r>
          </w:p>
        </w:tc>
      </w:tr>
      <w:tr>
        <w:tc>
          <w:tcPr>
            <w:tcW w:type="dxa" w:w="3168"/>
            <w:shd w:fill="F9FBFB"/>
            <w:tcMar>
              <w:top w:w="80" w:type="dxa"/>
              <w:bottom w:w="80" w:type="dxa"/>
              <w:left w:w="80" w:type="dxa"/>
              <w:right w:w="80" w:type="dxa"/>
            </w:tcMar>
          </w:tcPr>
          <w:p>
            <w:pPr>
              <w:spacing w:before="40" w:after="40"/>
              <w:jc w:val="left"/>
            </w:pPr>
            <w:r>
              <w:rPr>
                <w:rFonts w:ascii="Arial" w:hAnsi="Arial"/>
                <w:color w:val="333333"/>
                <w:sz w:val="18"/>
              </w:rPr>
              <w:t>Estimated Reach (Unique Users)</w:t>
            </w:r>
          </w:p>
        </w:tc>
        <w:tc>
          <w:tcPr>
            <w:tcW w:type="dxa" w:w="2304"/>
            <w:shd w:fill="F9FBFB"/>
            <w:tcMar>
              <w:top w:w="80" w:type="dxa"/>
              <w:bottom w:w="80" w:type="dxa"/>
              <w:left w:w="80" w:type="dxa"/>
              <w:right w:w="80" w:type="dxa"/>
            </w:tcMar>
          </w:tcPr>
          <w:p>
            <w:pPr>
              <w:spacing w:before="40" w:after="40"/>
              <w:jc w:val="center"/>
            </w:pPr>
            <w:r>
              <w:rPr>
                <w:rFonts w:ascii="Arial" w:hAnsi="Arial"/>
                <w:color w:val="333333"/>
                <w:sz w:val="18"/>
              </w:rPr>
              <w:t>750,000</w:t>
            </w:r>
          </w:p>
        </w:tc>
        <w:tc>
          <w:tcPr>
            <w:tcW w:type="dxa" w:w="2304"/>
            <w:shd w:fill="F9FBFB"/>
            <w:tcMar>
              <w:top w:w="80" w:type="dxa"/>
              <w:bottom w:w="80" w:type="dxa"/>
              <w:left w:w="80" w:type="dxa"/>
              <w:right w:w="80" w:type="dxa"/>
            </w:tcMar>
          </w:tcPr>
          <w:p>
            <w:pPr>
              <w:spacing w:before="40" w:after="40"/>
              <w:jc w:val="center"/>
            </w:pPr>
            <w:r>
              <w:rPr>
                <w:rFonts w:ascii="Arial" w:hAnsi="Arial"/>
                <w:color w:val="333333"/>
                <w:sz w:val="18"/>
              </w:rPr>
              <w:t>1,000,000</w:t>
            </w:r>
          </w:p>
        </w:tc>
        <w:tc>
          <w:tcPr>
            <w:tcW w:type="dxa" w:w="2304"/>
            <w:shd w:fill="F9FBFB"/>
            <w:tcMar>
              <w:top w:w="80" w:type="dxa"/>
              <w:bottom w:w="80" w:type="dxa"/>
              <w:left w:w="80" w:type="dxa"/>
              <w:right w:w="80" w:type="dxa"/>
            </w:tcMar>
          </w:tcPr>
          <w:p>
            <w:pPr>
              <w:spacing w:before="40" w:after="40"/>
              <w:jc w:val="center"/>
            </w:pPr>
            <w:r>
              <w:rPr>
                <w:rFonts w:ascii="Arial" w:hAnsi="Arial"/>
                <w:color w:val="333333"/>
                <w:sz w:val="18"/>
              </w:rPr>
              <w:t>1,350,000</w:t>
            </w:r>
          </w:p>
        </w:tc>
      </w:tr>
      <w:tr>
        <w:tc>
          <w:tcPr>
            <w:tcW w:type="dxa" w:w="3168"/>
            <w:shd w:fill="FFFFFF"/>
            <w:tcMar>
              <w:top w:w="80" w:type="dxa"/>
              <w:bottom w:w="80" w:type="dxa"/>
              <w:left w:w="80" w:type="dxa"/>
              <w:right w:w="80" w:type="dxa"/>
            </w:tcMar>
          </w:tcPr>
          <w:p>
            <w:pPr>
              <w:spacing w:before="40" w:after="40"/>
              <w:jc w:val="left"/>
            </w:pPr>
            <w:r>
              <w:rPr>
                <w:rFonts w:ascii="Arial" w:hAnsi="Arial"/>
                <w:color w:val="333333"/>
                <w:sz w:val="18"/>
              </w:rPr>
              <w:t>Link Clicks &amp; Profile Visits</w:t>
            </w:r>
          </w:p>
        </w:tc>
        <w:tc>
          <w:tcPr>
            <w:tcW w:type="dxa" w:w="2304"/>
            <w:shd w:fill="FFFFFF"/>
            <w:tcMar>
              <w:top w:w="80" w:type="dxa"/>
              <w:bottom w:w="80" w:type="dxa"/>
              <w:left w:w="80" w:type="dxa"/>
              <w:right w:w="80" w:type="dxa"/>
            </w:tcMar>
          </w:tcPr>
          <w:p>
            <w:pPr>
              <w:spacing w:before="40" w:after="40"/>
              <w:jc w:val="center"/>
            </w:pPr>
            <w:r>
              <w:rPr>
                <w:rFonts w:ascii="Arial" w:hAnsi="Arial"/>
                <w:color w:val="333333"/>
                <w:sz w:val="18"/>
              </w:rPr>
              <w:t>18,000</w:t>
            </w:r>
          </w:p>
        </w:tc>
        <w:tc>
          <w:tcPr>
            <w:tcW w:type="dxa" w:w="2304"/>
            <w:shd w:fill="FFFFFF"/>
            <w:tcMar>
              <w:top w:w="80" w:type="dxa"/>
              <w:bottom w:w="80" w:type="dxa"/>
              <w:left w:w="80" w:type="dxa"/>
              <w:right w:w="80" w:type="dxa"/>
            </w:tcMar>
          </w:tcPr>
          <w:p>
            <w:pPr>
              <w:spacing w:before="40" w:after="40"/>
              <w:jc w:val="center"/>
            </w:pPr>
            <w:r>
              <w:rPr>
                <w:rFonts w:ascii="Arial" w:hAnsi="Arial"/>
                <w:color w:val="333333"/>
                <w:sz w:val="18"/>
              </w:rPr>
              <w:t>26,000</w:t>
            </w:r>
          </w:p>
        </w:tc>
        <w:tc>
          <w:tcPr>
            <w:tcW w:type="dxa" w:w="2304"/>
            <w:shd w:fill="FFFFFF"/>
            <w:tcMar>
              <w:top w:w="80" w:type="dxa"/>
              <w:bottom w:w="80" w:type="dxa"/>
              <w:left w:w="80" w:type="dxa"/>
              <w:right w:w="80" w:type="dxa"/>
            </w:tcMar>
          </w:tcPr>
          <w:p>
            <w:pPr>
              <w:spacing w:before="40" w:after="40"/>
              <w:jc w:val="center"/>
            </w:pPr>
            <w:r>
              <w:rPr>
                <w:rFonts w:ascii="Arial" w:hAnsi="Arial"/>
                <w:color w:val="333333"/>
                <w:sz w:val="18"/>
              </w:rPr>
              <w:t>35,000</w:t>
            </w:r>
          </w:p>
        </w:tc>
      </w:tr>
      <w:tr>
        <w:tc>
          <w:tcPr>
            <w:tcW w:type="dxa" w:w="3168"/>
            <w:shd w:fill="F9FBFB"/>
            <w:tcMar>
              <w:top w:w="80" w:type="dxa"/>
              <w:bottom w:w="80" w:type="dxa"/>
              <w:left w:w="80" w:type="dxa"/>
              <w:right w:w="80" w:type="dxa"/>
            </w:tcMar>
          </w:tcPr>
          <w:p>
            <w:pPr>
              <w:spacing w:before="40" w:after="40"/>
              <w:jc w:val="left"/>
            </w:pPr>
            <w:r>
              <w:rPr>
                <w:rFonts w:ascii="Arial" w:hAnsi="Arial"/>
                <w:color w:val="333333"/>
                <w:sz w:val="18"/>
              </w:rPr>
              <w:t>Average CTR (%)</w:t>
            </w:r>
          </w:p>
        </w:tc>
        <w:tc>
          <w:tcPr>
            <w:tcW w:type="dxa" w:w="2304"/>
            <w:shd w:fill="F9FBFB"/>
            <w:tcMar>
              <w:top w:w="80" w:type="dxa"/>
              <w:bottom w:w="80" w:type="dxa"/>
              <w:left w:w="80" w:type="dxa"/>
              <w:right w:w="80" w:type="dxa"/>
            </w:tcMar>
          </w:tcPr>
          <w:p>
            <w:pPr>
              <w:spacing w:before="40" w:after="40"/>
              <w:jc w:val="center"/>
            </w:pPr>
            <w:r>
              <w:rPr>
                <w:rFonts w:ascii="Arial" w:hAnsi="Arial"/>
                <w:color w:val="333333"/>
                <w:sz w:val="18"/>
              </w:rPr>
              <w:t>1.00%</w:t>
            </w:r>
          </w:p>
        </w:tc>
        <w:tc>
          <w:tcPr>
            <w:tcW w:type="dxa" w:w="2304"/>
            <w:shd w:fill="F9FBFB"/>
            <w:tcMar>
              <w:top w:w="80" w:type="dxa"/>
              <w:bottom w:w="80" w:type="dxa"/>
              <w:left w:w="80" w:type="dxa"/>
              <w:right w:w="80" w:type="dxa"/>
            </w:tcMar>
          </w:tcPr>
          <w:p>
            <w:pPr>
              <w:spacing w:before="40" w:after="40"/>
              <w:jc w:val="center"/>
            </w:pPr>
            <w:r>
              <w:rPr>
                <w:rFonts w:ascii="Arial" w:hAnsi="Arial"/>
                <w:color w:val="333333"/>
                <w:sz w:val="18"/>
              </w:rPr>
              <w:t>1.15%</w:t>
            </w:r>
          </w:p>
        </w:tc>
        <w:tc>
          <w:tcPr>
            <w:tcW w:type="dxa" w:w="2304"/>
            <w:shd w:fill="F9FBFB"/>
            <w:tcMar>
              <w:top w:w="80" w:type="dxa"/>
              <w:bottom w:w="80" w:type="dxa"/>
              <w:left w:w="80" w:type="dxa"/>
              <w:right w:w="80" w:type="dxa"/>
            </w:tcMar>
          </w:tcPr>
          <w:p>
            <w:pPr>
              <w:spacing w:before="40" w:after="40"/>
              <w:jc w:val="center"/>
            </w:pPr>
            <w:r>
              <w:rPr>
                <w:rFonts w:ascii="Arial" w:hAnsi="Arial"/>
                <w:color w:val="333333"/>
                <w:sz w:val="18"/>
              </w:rPr>
              <w:t>1.40%</w:t>
            </w:r>
          </w:p>
        </w:tc>
      </w:tr>
      <w:tr>
        <w:tc>
          <w:tcPr>
            <w:tcW w:type="dxa" w:w="3168"/>
            <w:shd w:fill="FFFFFF"/>
            <w:tcMar>
              <w:top w:w="80" w:type="dxa"/>
              <w:bottom w:w="80" w:type="dxa"/>
              <w:left w:w="80" w:type="dxa"/>
              <w:right w:w="80" w:type="dxa"/>
            </w:tcMar>
          </w:tcPr>
          <w:p>
            <w:pPr>
              <w:spacing w:before="40" w:after="40"/>
              <w:jc w:val="left"/>
            </w:pPr>
            <w:r>
              <w:rPr>
                <w:rFonts w:ascii="Arial" w:hAnsi="Arial"/>
                <w:color w:val="333333"/>
                <w:sz w:val="18"/>
              </w:rPr>
              <w:t>LINE OA New Friend Adds (@uspolo)</w:t>
            </w:r>
          </w:p>
        </w:tc>
        <w:tc>
          <w:tcPr>
            <w:tcW w:type="dxa" w:w="2304"/>
            <w:shd w:fill="FFFFFF"/>
            <w:tcMar>
              <w:top w:w="80" w:type="dxa"/>
              <w:bottom w:w="80" w:type="dxa"/>
              <w:left w:w="80" w:type="dxa"/>
              <w:right w:w="80" w:type="dxa"/>
            </w:tcMar>
          </w:tcPr>
          <w:p>
            <w:pPr>
              <w:spacing w:before="40" w:after="40"/>
              <w:jc w:val="center"/>
            </w:pPr>
            <w:r>
              <w:rPr>
                <w:rFonts w:ascii="Arial" w:hAnsi="Arial"/>
                <w:color w:val="333333"/>
                <w:sz w:val="18"/>
              </w:rPr>
              <w:t>1,200</w:t>
            </w:r>
          </w:p>
        </w:tc>
        <w:tc>
          <w:tcPr>
            <w:tcW w:type="dxa" w:w="2304"/>
            <w:shd w:fill="FFFFFF"/>
            <w:tcMar>
              <w:top w:w="80" w:type="dxa"/>
              <w:bottom w:w="80" w:type="dxa"/>
              <w:left w:w="80" w:type="dxa"/>
              <w:right w:w="80" w:type="dxa"/>
            </w:tcMar>
          </w:tcPr>
          <w:p>
            <w:pPr>
              <w:spacing w:before="40" w:after="40"/>
              <w:jc w:val="center"/>
            </w:pPr>
            <w:r>
              <w:rPr>
                <w:rFonts w:ascii="Arial" w:hAnsi="Arial"/>
                <w:color w:val="333333"/>
                <w:sz w:val="18"/>
              </w:rPr>
              <w:t>1,800</w:t>
            </w:r>
          </w:p>
        </w:tc>
        <w:tc>
          <w:tcPr>
            <w:tcW w:type="dxa" w:w="2304"/>
            <w:shd w:fill="FFFFFF"/>
            <w:tcMar>
              <w:top w:w="80" w:type="dxa"/>
              <w:bottom w:w="80" w:type="dxa"/>
              <w:left w:w="80" w:type="dxa"/>
              <w:right w:w="80" w:type="dxa"/>
            </w:tcMar>
          </w:tcPr>
          <w:p>
            <w:pPr>
              <w:spacing w:before="40" w:after="40"/>
              <w:jc w:val="center"/>
            </w:pPr>
            <w:r>
              <w:rPr>
                <w:rFonts w:ascii="Arial" w:hAnsi="Arial"/>
                <w:color w:val="333333"/>
                <w:sz w:val="18"/>
              </w:rPr>
              <w:t>2,500</w:t>
            </w:r>
          </w:p>
        </w:tc>
      </w:tr>
      <w:tr>
        <w:tc>
          <w:tcPr>
            <w:tcW w:type="dxa" w:w="3168"/>
            <w:shd w:fill="F9FBFB"/>
            <w:tcMar>
              <w:top w:w="80" w:type="dxa"/>
              <w:bottom w:w="80" w:type="dxa"/>
              <w:left w:w="80" w:type="dxa"/>
              <w:right w:w="80" w:type="dxa"/>
            </w:tcMar>
          </w:tcPr>
          <w:p>
            <w:pPr>
              <w:spacing w:before="40" w:after="40"/>
              <w:jc w:val="left"/>
            </w:pPr>
            <w:r>
              <w:rPr>
                <w:rFonts w:ascii="Arial" w:hAnsi="Arial"/>
                <w:color w:val="333333"/>
                <w:sz w:val="18"/>
              </w:rPr>
              <w:t>FB/IG Direct Message Inquiries</w:t>
            </w:r>
          </w:p>
        </w:tc>
        <w:tc>
          <w:tcPr>
            <w:tcW w:type="dxa" w:w="2304"/>
            <w:shd w:fill="F9FBFB"/>
            <w:tcMar>
              <w:top w:w="80" w:type="dxa"/>
              <w:bottom w:w="80" w:type="dxa"/>
              <w:left w:w="80" w:type="dxa"/>
              <w:right w:w="80" w:type="dxa"/>
            </w:tcMar>
          </w:tcPr>
          <w:p>
            <w:pPr>
              <w:spacing w:before="40" w:after="40"/>
              <w:jc w:val="center"/>
            </w:pPr>
            <w:r>
              <w:rPr>
                <w:rFonts w:ascii="Arial" w:hAnsi="Arial"/>
                <w:color w:val="333333"/>
                <w:sz w:val="18"/>
              </w:rPr>
              <w:t>450</w:t>
            </w:r>
          </w:p>
        </w:tc>
        <w:tc>
          <w:tcPr>
            <w:tcW w:type="dxa" w:w="2304"/>
            <w:shd w:fill="F9FBFB"/>
            <w:tcMar>
              <w:top w:w="80" w:type="dxa"/>
              <w:bottom w:w="80" w:type="dxa"/>
              <w:left w:w="80" w:type="dxa"/>
              <w:right w:w="80" w:type="dxa"/>
            </w:tcMar>
          </w:tcPr>
          <w:p>
            <w:pPr>
              <w:spacing w:before="40" w:after="40"/>
              <w:jc w:val="center"/>
            </w:pPr>
            <w:r>
              <w:rPr>
                <w:rFonts w:ascii="Arial" w:hAnsi="Arial"/>
                <w:color w:val="333333"/>
                <w:sz w:val="18"/>
              </w:rPr>
              <w:t>700</w:t>
            </w:r>
          </w:p>
        </w:tc>
        <w:tc>
          <w:tcPr>
            <w:tcW w:type="dxa" w:w="2304"/>
            <w:shd w:fill="F9FBFB"/>
            <w:tcMar>
              <w:top w:w="80" w:type="dxa"/>
              <w:bottom w:w="80" w:type="dxa"/>
              <w:left w:w="80" w:type="dxa"/>
              <w:right w:w="80" w:type="dxa"/>
            </w:tcMar>
          </w:tcPr>
          <w:p>
            <w:pPr>
              <w:spacing w:before="40" w:after="40"/>
              <w:jc w:val="center"/>
            </w:pPr>
            <w:r>
              <w:rPr>
                <w:rFonts w:ascii="Arial" w:hAnsi="Arial"/>
                <w:color w:val="333333"/>
                <w:sz w:val="18"/>
              </w:rPr>
              <w:t>1,000</w:t>
            </w:r>
          </w:p>
        </w:tc>
      </w:tr>
      <w:tr>
        <w:tc>
          <w:tcPr>
            <w:tcW w:type="dxa" w:w="3168"/>
            <w:shd w:fill="FFFFFF"/>
            <w:tcMar>
              <w:top w:w="80" w:type="dxa"/>
              <w:bottom w:w="80" w:type="dxa"/>
              <w:left w:w="80" w:type="dxa"/>
              <w:right w:w="80" w:type="dxa"/>
            </w:tcMar>
          </w:tcPr>
          <w:p>
            <w:pPr>
              <w:spacing w:before="40" w:after="40"/>
              <w:jc w:val="left"/>
            </w:pPr>
            <w:r>
              <w:rPr>
                <w:rFonts w:ascii="Arial" w:hAnsi="Arial"/>
                <w:color w:val="333333"/>
                <w:sz w:val="18"/>
              </w:rPr>
              <w:t>Est. Social Commerce Revenue (THB)</w:t>
            </w:r>
          </w:p>
        </w:tc>
        <w:tc>
          <w:tcPr>
            <w:tcW w:type="dxa" w:w="2304"/>
            <w:shd w:fill="FFFFFF"/>
            <w:tcMar>
              <w:top w:w="80" w:type="dxa"/>
              <w:bottom w:w="80" w:type="dxa"/>
              <w:left w:w="80" w:type="dxa"/>
              <w:right w:w="80" w:type="dxa"/>
            </w:tcMar>
          </w:tcPr>
          <w:p>
            <w:pPr>
              <w:spacing w:before="40" w:after="40"/>
              <w:jc w:val="center"/>
            </w:pPr>
            <w:r>
              <w:rPr>
                <w:rFonts w:ascii="Arial" w:hAnsi="Arial"/>
                <w:color w:val="333333"/>
                <w:sz w:val="18"/>
              </w:rPr>
              <w:t>THB 250,000</w:t>
            </w:r>
          </w:p>
        </w:tc>
        <w:tc>
          <w:tcPr>
            <w:tcW w:type="dxa" w:w="2304"/>
            <w:shd w:fill="FFFFFF"/>
            <w:tcMar>
              <w:top w:w="80" w:type="dxa"/>
              <w:bottom w:w="80" w:type="dxa"/>
              <w:left w:w="80" w:type="dxa"/>
              <w:right w:w="80" w:type="dxa"/>
            </w:tcMar>
          </w:tcPr>
          <w:p>
            <w:pPr>
              <w:spacing w:before="40" w:after="40"/>
              <w:jc w:val="center"/>
            </w:pPr>
            <w:r>
              <w:rPr>
                <w:rFonts w:ascii="Arial" w:hAnsi="Arial"/>
                <w:color w:val="333333"/>
                <w:sz w:val="18"/>
              </w:rPr>
              <w:t>THB 400,000</w:t>
            </w:r>
          </w:p>
        </w:tc>
        <w:tc>
          <w:tcPr>
            <w:tcW w:type="dxa" w:w="2304"/>
            <w:shd w:fill="FFFFFF"/>
            <w:tcMar>
              <w:top w:w="80" w:type="dxa"/>
              <w:bottom w:w="80" w:type="dxa"/>
              <w:left w:w="80" w:type="dxa"/>
              <w:right w:w="80" w:type="dxa"/>
            </w:tcMar>
          </w:tcPr>
          <w:p>
            <w:pPr>
              <w:spacing w:before="40" w:after="40"/>
              <w:jc w:val="center"/>
            </w:pPr>
            <w:r>
              <w:rPr>
                <w:rFonts w:ascii="Arial" w:hAnsi="Arial"/>
                <w:color w:val="333333"/>
                <w:sz w:val="18"/>
              </w:rPr>
              <w:t>THB 600,000</w:t>
            </w:r>
          </w:p>
        </w:tc>
      </w:tr>
      <w:tr>
        <w:tc>
          <w:tcPr>
            <w:tcW w:type="dxa" w:w="3168"/>
            <w:shd w:fill="F9FBFB"/>
            <w:tcMar>
              <w:top w:w="80" w:type="dxa"/>
              <w:bottom w:w="80" w:type="dxa"/>
              <w:left w:w="80" w:type="dxa"/>
              <w:right w:w="80" w:type="dxa"/>
            </w:tcMar>
          </w:tcPr>
          <w:p>
            <w:pPr>
              <w:spacing w:before="40" w:after="40"/>
              <w:jc w:val="left"/>
            </w:pPr>
            <w:r>
              <w:rPr>
                <w:rFonts w:ascii="Arial" w:hAnsi="Arial"/>
                <w:color w:val="333333"/>
                <w:sz w:val="18"/>
              </w:rPr>
              <w:t>Est. Social Commerce ROAS</w:t>
            </w:r>
          </w:p>
        </w:tc>
        <w:tc>
          <w:tcPr>
            <w:tcW w:type="dxa" w:w="2304"/>
            <w:shd w:fill="F9FBFB"/>
            <w:tcMar>
              <w:top w:w="80" w:type="dxa"/>
              <w:bottom w:w="80" w:type="dxa"/>
              <w:left w:w="80" w:type="dxa"/>
              <w:right w:w="80" w:type="dxa"/>
            </w:tcMar>
          </w:tcPr>
          <w:p>
            <w:pPr>
              <w:spacing w:before="40" w:after="40"/>
              <w:jc w:val="center"/>
            </w:pPr>
            <w:r>
              <w:rPr>
                <w:rFonts w:ascii="Arial" w:hAnsi="Arial"/>
                <w:color w:val="333333"/>
                <w:sz w:val="18"/>
              </w:rPr>
              <w:t>2.5x</w:t>
            </w:r>
          </w:p>
        </w:tc>
        <w:tc>
          <w:tcPr>
            <w:tcW w:type="dxa" w:w="2304"/>
            <w:shd w:fill="F9FBFB"/>
            <w:tcMar>
              <w:top w:w="80" w:type="dxa"/>
              <w:bottom w:w="80" w:type="dxa"/>
              <w:left w:w="80" w:type="dxa"/>
              <w:right w:w="80" w:type="dxa"/>
            </w:tcMar>
          </w:tcPr>
          <w:p>
            <w:pPr>
              <w:spacing w:before="40" w:after="40"/>
              <w:jc w:val="center"/>
            </w:pPr>
            <w:r>
              <w:rPr>
                <w:rFonts w:ascii="Arial" w:hAnsi="Arial"/>
                <w:color w:val="333333"/>
                <w:sz w:val="18"/>
              </w:rPr>
              <w:t>4.0x</w:t>
            </w:r>
          </w:p>
        </w:tc>
        <w:tc>
          <w:tcPr>
            <w:tcW w:type="dxa" w:w="2304"/>
            <w:shd w:fill="F9FBFB"/>
            <w:tcMar>
              <w:top w:w="80" w:type="dxa"/>
              <w:bottom w:w="80" w:type="dxa"/>
              <w:left w:w="80" w:type="dxa"/>
              <w:right w:w="80" w:type="dxa"/>
            </w:tcMar>
          </w:tcPr>
          <w:p>
            <w:pPr>
              <w:spacing w:before="40" w:after="40"/>
              <w:jc w:val="center"/>
            </w:pPr>
            <w:r>
              <w:rPr>
                <w:rFonts w:ascii="Arial" w:hAnsi="Arial"/>
                <w:color w:val="333333"/>
                <w:sz w:val="18"/>
              </w:rPr>
              <w:t>6.0x</w:t>
            </w:r>
          </w:p>
        </w:tc>
      </w:tr>
    </w:tbl>
    <w:p>
      <w:pPr>
        <w:spacing w:before="240" w:after="80"/>
      </w:pPr>
      <w:r>
        <w:rPr>
          <w:rFonts w:ascii="Arial" w:hAnsi="Arial"/>
          <w:b/>
          <w:color w:val="003B2D"/>
          <w:sz w:val="25"/>
        </w:rPr>
        <w:t>Phase 2 Forecast: Shopify E-Commerce &amp; CPAS Growth (Monthly THB 100,000 Media Budget)</w:t>
      </w:r>
    </w:p>
    <w:tbl>
      <w:tblPr>
        <w:tblW w:type="auto" w:w="0"/>
        <w:jc w:val="center"/>
        <w:tblLook w:firstColumn="1" w:firstRow="1" w:lastColumn="0" w:lastRow="0" w:noHBand="0" w:noVBand="1" w:val="04A0"/>
      </w:tblPr>
      <w:tblGrid>
        <w:gridCol w:w="2484"/>
        <w:gridCol w:w="2484"/>
        <w:gridCol w:w="2484"/>
        <w:gridCol w:w="2484"/>
      </w:tblGrid>
      <w:tr>
        <w:tc>
          <w:tcPr>
            <w:tcW w:type="dxa" w:w="3168"/>
            <w:shd w:fill="003B2D"/>
            <w:tcMar>
              <w:top w:w="100" w:type="dxa"/>
              <w:bottom w:w="100" w:type="dxa"/>
              <w:left w:w="100" w:type="dxa"/>
              <w:right w:w="100" w:type="dxa"/>
            </w:tcMar>
          </w:tcPr>
          <w:p>
            <w:pPr>
              <w:jc w:val="center"/>
            </w:pPr>
            <w:r>
              <w:rPr>
                <w:rFonts w:ascii="Arial" w:hAnsi="Arial"/>
                <w:b/>
                <w:color w:val="FFFFFF"/>
                <w:sz w:val="19"/>
              </w:rPr>
              <w:t>Metric / KPI</w:t>
            </w:r>
          </w:p>
        </w:tc>
        <w:tc>
          <w:tcPr>
            <w:tcW w:type="dxa" w:w="2304"/>
            <w:shd w:fill="003B2D"/>
            <w:tcMar>
              <w:top w:w="100" w:type="dxa"/>
              <w:bottom w:w="100" w:type="dxa"/>
              <w:left w:w="100" w:type="dxa"/>
              <w:right w:w="100" w:type="dxa"/>
            </w:tcMar>
          </w:tcPr>
          <w:p>
            <w:pPr>
              <w:jc w:val="center"/>
            </w:pPr>
            <w:r>
              <w:rPr>
                <w:rFonts w:ascii="Arial" w:hAnsi="Arial"/>
                <w:b/>
                <w:color w:val="FFFFFF"/>
                <w:sz w:val="19"/>
              </w:rPr>
              <w:t>Conservative Scenario</w:t>
            </w:r>
          </w:p>
        </w:tc>
        <w:tc>
          <w:tcPr>
            <w:tcW w:type="dxa" w:w="2304"/>
            <w:shd w:fill="003B2D"/>
            <w:tcMar>
              <w:top w:w="100" w:type="dxa"/>
              <w:bottom w:w="100" w:type="dxa"/>
              <w:left w:w="100" w:type="dxa"/>
              <w:right w:w="100" w:type="dxa"/>
            </w:tcMar>
          </w:tcPr>
          <w:p>
            <w:pPr>
              <w:jc w:val="center"/>
            </w:pPr>
            <w:r>
              <w:rPr>
                <w:rFonts w:ascii="Arial" w:hAnsi="Arial"/>
                <w:b/>
                <w:color w:val="FFFFFF"/>
                <w:sz w:val="19"/>
              </w:rPr>
              <w:t>Base Target Scenario</w:t>
            </w:r>
          </w:p>
        </w:tc>
        <w:tc>
          <w:tcPr>
            <w:tcW w:type="dxa" w:w="2304"/>
            <w:shd w:fill="003B2D"/>
            <w:tcMar>
              <w:top w:w="100" w:type="dxa"/>
              <w:bottom w:w="100" w:type="dxa"/>
              <w:left w:w="100" w:type="dxa"/>
              <w:right w:w="100" w:type="dxa"/>
            </w:tcMar>
          </w:tcPr>
          <w:p>
            <w:pPr>
              <w:jc w:val="center"/>
            </w:pPr>
            <w:r>
              <w:rPr>
                <w:rFonts w:ascii="Arial" w:hAnsi="Arial"/>
                <w:b/>
                <w:color w:val="FFFFFF"/>
                <w:sz w:val="19"/>
              </w:rPr>
              <w:t>Stretch Scenario</w:t>
            </w:r>
          </w:p>
        </w:tc>
      </w:tr>
      <w:tr>
        <w:tc>
          <w:tcPr>
            <w:tcW w:type="dxa" w:w="3168"/>
            <w:shd w:fill="FFFFFF"/>
            <w:tcMar>
              <w:top w:w="80" w:type="dxa"/>
              <w:bottom w:w="80" w:type="dxa"/>
              <w:left w:w="80" w:type="dxa"/>
              <w:right w:w="80" w:type="dxa"/>
            </w:tcMar>
          </w:tcPr>
          <w:p>
            <w:pPr>
              <w:spacing w:before="40" w:after="40"/>
              <w:jc w:val="left"/>
            </w:pPr>
            <w:r>
              <w:rPr>
                <w:rFonts w:ascii="Arial" w:hAnsi="Arial"/>
                <w:color w:val="333333"/>
                <w:sz w:val="18"/>
              </w:rPr>
              <w:t>Shopify &amp; Marketplace Traffic (Sessions)</w:t>
            </w:r>
          </w:p>
        </w:tc>
        <w:tc>
          <w:tcPr>
            <w:tcW w:type="dxa" w:w="2304"/>
            <w:shd w:fill="FFFFFF"/>
            <w:tcMar>
              <w:top w:w="80" w:type="dxa"/>
              <w:bottom w:w="80" w:type="dxa"/>
              <w:left w:w="80" w:type="dxa"/>
              <w:right w:w="80" w:type="dxa"/>
            </w:tcMar>
          </w:tcPr>
          <w:p>
            <w:pPr>
              <w:spacing w:before="40" w:after="40"/>
              <w:jc w:val="center"/>
            </w:pPr>
            <w:r>
              <w:rPr>
                <w:rFonts w:ascii="Arial" w:hAnsi="Arial"/>
                <w:color w:val="333333"/>
                <w:sz w:val="18"/>
              </w:rPr>
              <w:t>22,000</w:t>
            </w:r>
          </w:p>
        </w:tc>
        <w:tc>
          <w:tcPr>
            <w:tcW w:type="dxa" w:w="2304"/>
            <w:shd w:fill="FFFFFF"/>
            <w:tcMar>
              <w:top w:w="80" w:type="dxa"/>
              <w:bottom w:w="80" w:type="dxa"/>
              <w:left w:w="80" w:type="dxa"/>
              <w:right w:w="80" w:type="dxa"/>
            </w:tcMar>
          </w:tcPr>
          <w:p>
            <w:pPr>
              <w:spacing w:before="40" w:after="40"/>
              <w:jc w:val="center"/>
            </w:pPr>
            <w:r>
              <w:rPr>
                <w:rFonts w:ascii="Arial" w:hAnsi="Arial"/>
                <w:color w:val="333333"/>
                <w:sz w:val="18"/>
              </w:rPr>
              <w:t>32,000</w:t>
            </w:r>
          </w:p>
        </w:tc>
        <w:tc>
          <w:tcPr>
            <w:tcW w:type="dxa" w:w="2304"/>
            <w:shd w:fill="FFFFFF"/>
            <w:tcMar>
              <w:top w:w="80" w:type="dxa"/>
              <w:bottom w:w="80" w:type="dxa"/>
              <w:left w:w="80" w:type="dxa"/>
              <w:right w:w="80" w:type="dxa"/>
            </w:tcMar>
          </w:tcPr>
          <w:p>
            <w:pPr>
              <w:spacing w:before="40" w:after="40"/>
              <w:jc w:val="center"/>
            </w:pPr>
            <w:r>
              <w:rPr>
                <w:rFonts w:ascii="Arial" w:hAnsi="Arial"/>
                <w:color w:val="333333"/>
                <w:sz w:val="18"/>
              </w:rPr>
              <w:t>42,000</w:t>
            </w:r>
          </w:p>
        </w:tc>
      </w:tr>
      <w:tr>
        <w:tc>
          <w:tcPr>
            <w:tcW w:type="dxa" w:w="3168"/>
            <w:shd w:fill="F9FBFB"/>
            <w:tcMar>
              <w:top w:w="80" w:type="dxa"/>
              <w:bottom w:w="80" w:type="dxa"/>
              <w:left w:w="80" w:type="dxa"/>
              <w:right w:w="80" w:type="dxa"/>
            </w:tcMar>
          </w:tcPr>
          <w:p>
            <w:pPr>
              <w:spacing w:before="40" w:after="40"/>
              <w:jc w:val="left"/>
            </w:pPr>
            <w:r>
              <w:rPr>
                <w:rFonts w:ascii="Arial" w:hAnsi="Arial"/>
                <w:color w:val="333333"/>
                <w:sz w:val="18"/>
              </w:rPr>
              <w:t>Average Web Conversion Rate (%)</w:t>
            </w:r>
          </w:p>
        </w:tc>
        <w:tc>
          <w:tcPr>
            <w:tcW w:type="dxa" w:w="2304"/>
            <w:shd w:fill="F9FBFB"/>
            <w:tcMar>
              <w:top w:w="80" w:type="dxa"/>
              <w:bottom w:w="80" w:type="dxa"/>
              <w:left w:w="80" w:type="dxa"/>
              <w:right w:w="80" w:type="dxa"/>
            </w:tcMar>
          </w:tcPr>
          <w:p>
            <w:pPr>
              <w:spacing w:before="40" w:after="40"/>
              <w:jc w:val="center"/>
            </w:pPr>
            <w:r>
              <w:rPr>
                <w:rFonts w:ascii="Arial" w:hAnsi="Arial"/>
                <w:color w:val="333333"/>
                <w:sz w:val="18"/>
              </w:rPr>
              <w:t>1.20%</w:t>
            </w:r>
          </w:p>
        </w:tc>
        <w:tc>
          <w:tcPr>
            <w:tcW w:type="dxa" w:w="2304"/>
            <w:shd w:fill="F9FBFB"/>
            <w:tcMar>
              <w:top w:w="80" w:type="dxa"/>
              <w:bottom w:w="80" w:type="dxa"/>
              <w:left w:w="80" w:type="dxa"/>
              <w:right w:w="80" w:type="dxa"/>
            </w:tcMar>
          </w:tcPr>
          <w:p>
            <w:pPr>
              <w:spacing w:before="40" w:after="40"/>
              <w:jc w:val="center"/>
            </w:pPr>
            <w:r>
              <w:rPr>
                <w:rFonts w:ascii="Arial" w:hAnsi="Arial"/>
                <w:color w:val="333333"/>
                <w:sz w:val="18"/>
              </w:rPr>
              <w:t>1.60%</w:t>
            </w:r>
          </w:p>
        </w:tc>
        <w:tc>
          <w:tcPr>
            <w:tcW w:type="dxa" w:w="2304"/>
            <w:shd w:fill="F9FBFB"/>
            <w:tcMar>
              <w:top w:w="80" w:type="dxa"/>
              <w:bottom w:w="80" w:type="dxa"/>
              <w:left w:w="80" w:type="dxa"/>
              <w:right w:w="80" w:type="dxa"/>
            </w:tcMar>
          </w:tcPr>
          <w:p>
            <w:pPr>
              <w:spacing w:before="40" w:after="40"/>
              <w:jc w:val="center"/>
            </w:pPr>
            <w:r>
              <w:rPr>
                <w:rFonts w:ascii="Arial" w:hAnsi="Arial"/>
                <w:color w:val="333333"/>
                <w:sz w:val="18"/>
              </w:rPr>
              <w:t>2.20%</w:t>
            </w:r>
          </w:p>
        </w:tc>
      </w:tr>
      <w:tr>
        <w:tc>
          <w:tcPr>
            <w:tcW w:type="dxa" w:w="3168"/>
            <w:shd w:fill="FFFFFF"/>
            <w:tcMar>
              <w:top w:w="80" w:type="dxa"/>
              <w:bottom w:w="80" w:type="dxa"/>
              <w:left w:w="80" w:type="dxa"/>
              <w:right w:w="80" w:type="dxa"/>
            </w:tcMar>
          </w:tcPr>
          <w:p>
            <w:pPr>
              <w:spacing w:before="40" w:after="40"/>
              <w:jc w:val="left"/>
            </w:pPr>
            <w:r>
              <w:rPr>
                <w:rFonts w:ascii="Arial" w:hAnsi="Arial"/>
                <w:color w:val="333333"/>
                <w:sz w:val="18"/>
              </w:rPr>
              <w:t>Total Completed E-Commerce Orders</w:t>
            </w:r>
          </w:p>
        </w:tc>
        <w:tc>
          <w:tcPr>
            <w:tcW w:type="dxa" w:w="2304"/>
            <w:shd w:fill="FFFFFF"/>
            <w:tcMar>
              <w:top w:w="80" w:type="dxa"/>
              <w:bottom w:w="80" w:type="dxa"/>
              <w:left w:w="80" w:type="dxa"/>
              <w:right w:w="80" w:type="dxa"/>
            </w:tcMar>
          </w:tcPr>
          <w:p>
            <w:pPr>
              <w:spacing w:before="40" w:after="40"/>
              <w:jc w:val="center"/>
            </w:pPr>
            <w:r>
              <w:rPr>
                <w:rFonts w:ascii="Arial" w:hAnsi="Arial"/>
                <w:color w:val="333333"/>
                <w:sz w:val="18"/>
              </w:rPr>
              <w:t>264</w:t>
            </w:r>
          </w:p>
        </w:tc>
        <w:tc>
          <w:tcPr>
            <w:tcW w:type="dxa" w:w="2304"/>
            <w:shd w:fill="FFFFFF"/>
            <w:tcMar>
              <w:top w:w="80" w:type="dxa"/>
              <w:bottom w:w="80" w:type="dxa"/>
              <w:left w:w="80" w:type="dxa"/>
              <w:right w:w="80" w:type="dxa"/>
            </w:tcMar>
          </w:tcPr>
          <w:p>
            <w:pPr>
              <w:spacing w:before="40" w:after="40"/>
              <w:jc w:val="center"/>
            </w:pPr>
            <w:r>
              <w:rPr>
                <w:rFonts w:ascii="Arial" w:hAnsi="Arial"/>
                <w:color w:val="333333"/>
                <w:sz w:val="18"/>
              </w:rPr>
              <w:t>512</w:t>
            </w:r>
          </w:p>
        </w:tc>
        <w:tc>
          <w:tcPr>
            <w:tcW w:type="dxa" w:w="2304"/>
            <w:shd w:fill="FFFFFF"/>
            <w:tcMar>
              <w:top w:w="80" w:type="dxa"/>
              <w:bottom w:w="80" w:type="dxa"/>
              <w:left w:w="80" w:type="dxa"/>
              <w:right w:w="80" w:type="dxa"/>
            </w:tcMar>
          </w:tcPr>
          <w:p>
            <w:pPr>
              <w:spacing w:before="40" w:after="40"/>
              <w:jc w:val="center"/>
            </w:pPr>
            <w:r>
              <w:rPr>
                <w:rFonts w:ascii="Arial" w:hAnsi="Arial"/>
                <w:color w:val="333333"/>
                <w:sz w:val="18"/>
              </w:rPr>
              <w:t>924</w:t>
            </w:r>
          </w:p>
        </w:tc>
      </w:tr>
      <w:tr>
        <w:tc>
          <w:tcPr>
            <w:tcW w:type="dxa" w:w="3168"/>
            <w:shd w:fill="F9FBFB"/>
            <w:tcMar>
              <w:top w:w="80" w:type="dxa"/>
              <w:bottom w:w="80" w:type="dxa"/>
              <w:left w:w="80" w:type="dxa"/>
              <w:right w:w="80" w:type="dxa"/>
            </w:tcMar>
          </w:tcPr>
          <w:p>
            <w:pPr>
              <w:spacing w:before="40" w:after="40"/>
              <w:jc w:val="left"/>
            </w:pPr>
            <w:r>
              <w:rPr>
                <w:rFonts w:ascii="Arial" w:hAnsi="Arial"/>
                <w:color w:val="333333"/>
                <w:sz w:val="18"/>
              </w:rPr>
              <w:t>Assumed Average Order Value (AOV)</w:t>
            </w:r>
          </w:p>
        </w:tc>
        <w:tc>
          <w:tcPr>
            <w:tcW w:type="dxa" w:w="2304"/>
            <w:shd w:fill="F9FBFB"/>
            <w:tcMar>
              <w:top w:w="80" w:type="dxa"/>
              <w:bottom w:w="80" w:type="dxa"/>
              <w:left w:w="80" w:type="dxa"/>
              <w:right w:w="80" w:type="dxa"/>
            </w:tcMar>
          </w:tcPr>
          <w:p>
            <w:pPr>
              <w:spacing w:before="40" w:after="40"/>
              <w:jc w:val="center"/>
            </w:pPr>
            <w:r>
              <w:rPr>
                <w:rFonts w:ascii="Arial" w:hAnsi="Arial"/>
                <w:color w:val="333333"/>
                <w:sz w:val="18"/>
              </w:rPr>
              <w:t>THB 1,800</w:t>
            </w:r>
          </w:p>
        </w:tc>
        <w:tc>
          <w:tcPr>
            <w:tcW w:type="dxa" w:w="2304"/>
            <w:shd w:fill="F9FBFB"/>
            <w:tcMar>
              <w:top w:w="80" w:type="dxa"/>
              <w:bottom w:w="80" w:type="dxa"/>
              <w:left w:w="80" w:type="dxa"/>
              <w:right w:w="80" w:type="dxa"/>
            </w:tcMar>
          </w:tcPr>
          <w:p>
            <w:pPr>
              <w:spacing w:before="40" w:after="40"/>
              <w:jc w:val="center"/>
            </w:pPr>
            <w:r>
              <w:rPr>
                <w:rFonts w:ascii="Arial" w:hAnsi="Arial"/>
                <w:color w:val="333333"/>
                <w:sz w:val="18"/>
              </w:rPr>
              <w:t>THB 2,000</w:t>
            </w:r>
          </w:p>
        </w:tc>
        <w:tc>
          <w:tcPr>
            <w:tcW w:type="dxa" w:w="2304"/>
            <w:shd w:fill="F9FBFB"/>
            <w:tcMar>
              <w:top w:w="80" w:type="dxa"/>
              <w:bottom w:w="80" w:type="dxa"/>
              <w:left w:w="80" w:type="dxa"/>
              <w:right w:w="80" w:type="dxa"/>
            </w:tcMar>
          </w:tcPr>
          <w:p>
            <w:pPr>
              <w:spacing w:before="40" w:after="40"/>
              <w:jc w:val="center"/>
            </w:pPr>
            <w:r>
              <w:rPr>
                <w:rFonts w:ascii="Arial" w:hAnsi="Arial"/>
                <w:color w:val="333333"/>
                <w:sz w:val="18"/>
              </w:rPr>
              <w:t>THB 2,200</w:t>
            </w:r>
          </w:p>
        </w:tc>
      </w:tr>
      <w:tr>
        <w:tc>
          <w:tcPr>
            <w:tcW w:type="dxa" w:w="3168"/>
            <w:shd w:fill="FFFFFF"/>
            <w:tcMar>
              <w:top w:w="80" w:type="dxa"/>
              <w:bottom w:w="80" w:type="dxa"/>
              <w:left w:w="80" w:type="dxa"/>
              <w:right w:w="80" w:type="dxa"/>
            </w:tcMar>
          </w:tcPr>
          <w:p>
            <w:pPr>
              <w:spacing w:before="40" w:after="40"/>
              <w:jc w:val="left"/>
            </w:pPr>
            <w:r>
              <w:rPr>
                <w:rFonts w:ascii="Arial" w:hAnsi="Arial"/>
                <w:color w:val="333333"/>
                <w:sz w:val="18"/>
              </w:rPr>
              <w:t>Total E-Commerce Revenue (THB)</w:t>
            </w:r>
          </w:p>
        </w:tc>
        <w:tc>
          <w:tcPr>
            <w:tcW w:type="dxa" w:w="2304"/>
            <w:shd w:fill="FFFFFF"/>
            <w:tcMar>
              <w:top w:w="80" w:type="dxa"/>
              <w:bottom w:w="80" w:type="dxa"/>
              <w:left w:w="80" w:type="dxa"/>
              <w:right w:w="80" w:type="dxa"/>
            </w:tcMar>
          </w:tcPr>
          <w:p>
            <w:pPr>
              <w:spacing w:before="40" w:after="40"/>
              <w:jc w:val="center"/>
            </w:pPr>
            <w:r>
              <w:rPr>
                <w:rFonts w:ascii="Arial" w:hAnsi="Arial"/>
                <w:color w:val="333333"/>
                <w:sz w:val="18"/>
              </w:rPr>
              <w:t>THB 475,200</w:t>
            </w:r>
          </w:p>
        </w:tc>
        <w:tc>
          <w:tcPr>
            <w:tcW w:type="dxa" w:w="2304"/>
            <w:shd w:fill="FFFFFF"/>
            <w:tcMar>
              <w:top w:w="80" w:type="dxa"/>
              <w:bottom w:w="80" w:type="dxa"/>
              <w:left w:w="80" w:type="dxa"/>
              <w:right w:w="80" w:type="dxa"/>
            </w:tcMar>
          </w:tcPr>
          <w:p>
            <w:pPr>
              <w:spacing w:before="40" w:after="40"/>
              <w:jc w:val="center"/>
            </w:pPr>
            <w:r>
              <w:rPr>
                <w:rFonts w:ascii="Arial" w:hAnsi="Arial"/>
                <w:color w:val="333333"/>
                <w:sz w:val="18"/>
              </w:rPr>
              <w:t>THB 1,024,000</w:t>
            </w:r>
          </w:p>
        </w:tc>
        <w:tc>
          <w:tcPr>
            <w:tcW w:type="dxa" w:w="2304"/>
            <w:shd w:fill="FFFFFF"/>
            <w:tcMar>
              <w:top w:w="80" w:type="dxa"/>
              <w:bottom w:w="80" w:type="dxa"/>
              <w:left w:w="80" w:type="dxa"/>
              <w:right w:w="80" w:type="dxa"/>
            </w:tcMar>
          </w:tcPr>
          <w:p>
            <w:pPr>
              <w:spacing w:before="40" w:after="40"/>
              <w:jc w:val="center"/>
            </w:pPr>
            <w:r>
              <w:rPr>
                <w:rFonts w:ascii="Arial" w:hAnsi="Arial"/>
                <w:color w:val="333333"/>
                <w:sz w:val="18"/>
              </w:rPr>
              <w:t>THB 2,032,800</w:t>
            </w:r>
          </w:p>
        </w:tc>
      </w:tr>
      <w:tr>
        <w:tc>
          <w:tcPr>
            <w:tcW w:type="dxa" w:w="3168"/>
            <w:shd w:fill="F9FBFB"/>
            <w:tcMar>
              <w:top w:w="80" w:type="dxa"/>
              <w:bottom w:w="80" w:type="dxa"/>
              <w:left w:w="80" w:type="dxa"/>
              <w:right w:w="80" w:type="dxa"/>
            </w:tcMar>
          </w:tcPr>
          <w:p>
            <w:pPr>
              <w:spacing w:before="40" w:after="40"/>
              <w:jc w:val="left"/>
            </w:pPr>
            <w:r>
              <w:rPr>
                <w:rFonts w:ascii="Arial" w:hAnsi="Arial"/>
                <w:color w:val="333333"/>
                <w:sz w:val="18"/>
              </w:rPr>
              <w:t>Overall Blended E-Commerce ROAS</w:t>
            </w:r>
          </w:p>
        </w:tc>
        <w:tc>
          <w:tcPr>
            <w:tcW w:type="dxa" w:w="2304"/>
            <w:shd w:fill="F9FBFB"/>
            <w:tcMar>
              <w:top w:w="80" w:type="dxa"/>
              <w:bottom w:w="80" w:type="dxa"/>
              <w:left w:w="80" w:type="dxa"/>
              <w:right w:w="80" w:type="dxa"/>
            </w:tcMar>
          </w:tcPr>
          <w:p>
            <w:pPr>
              <w:spacing w:before="40" w:after="40"/>
              <w:jc w:val="center"/>
            </w:pPr>
            <w:r>
              <w:rPr>
                <w:rFonts w:ascii="Arial" w:hAnsi="Arial"/>
                <w:color w:val="333333"/>
                <w:sz w:val="18"/>
              </w:rPr>
              <w:t>4.75x</w:t>
            </w:r>
          </w:p>
        </w:tc>
        <w:tc>
          <w:tcPr>
            <w:tcW w:type="dxa" w:w="2304"/>
            <w:shd w:fill="F9FBFB"/>
            <w:tcMar>
              <w:top w:w="80" w:type="dxa"/>
              <w:bottom w:w="80" w:type="dxa"/>
              <w:left w:w="80" w:type="dxa"/>
              <w:right w:w="80" w:type="dxa"/>
            </w:tcMar>
          </w:tcPr>
          <w:p>
            <w:pPr>
              <w:spacing w:before="40" w:after="40"/>
              <w:jc w:val="center"/>
            </w:pPr>
            <w:r>
              <w:rPr>
                <w:rFonts w:ascii="Arial" w:hAnsi="Arial"/>
                <w:color w:val="333333"/>
                <w:sz w:val="18"/>
              </w:rPr>
              <w:t>10.24x</w:t>
            </w:r>
          </w:p>
        </w:tc>
        <w:tc>
          <w:tcPr>
            <w:tcW w:type="dxa" w:w="2304"/>
            <w:shd w:fill="F9FBFB"/>
            <w:tcMar>
              <w:top w:w="80" w:type="dxa"/>
              <w:bottom w:w="80" w:type="dxa"/>
              <w:left w:w="80" w:type="dxa"/>
              <w:right w:w="80" w:type="dxa"/>
            </w:tcMar>
          </w:tcPr>
          <w:p>
            <w:pPr>
              <w:spacing w:before="40" w:after="40"/>
              <w:jc w:val="center"/>
            </w:pPr>
            <w:r>
              <w:rPr>
                <w:rFonts w:ascii="Arial" w:hAnsi="Arial"/>
                <w:color w:val="333333"/>
                <w:sz w:val="18"/>
              </w:rPr>
              <w:t>20.33x</w:t>
            </w:r>
          </w:p>
        </w:tc>
      </w:tr>
    </w:tbl>
    <w:p>
      <w:pPr>
        <w:spacing w:before="320" w:after="120"/>
      </w:pPr>
      <w:r>
        <w:rPr>
          <w:rFonts w:ascii="Arial" w:hAnsi="Arial"/>
          <w:b/>
          <w:color w:val="021E18"/>
          <w:sz w:val="30"/>
        </w:rPr>
        <w:t>9. Commercial Terms &amp; Management Fee Structure</w:t>
      </w:r>
    </w:p>
    <w:p>
      <w:pPr>
        <w:spacing w:before="40" w:after="100" w:line="276" w:lineRule="auto"/>
      </w:pPr>
      <w:r>
        <w:rPr>
          <w:rFonts w:ascii="Arial" w:hAnsi="Arial"/>
          <w:color w:val="333333"/>
          <w:sz w:val="20"/>
        </w:rPr>
        <w:t>Fresh Digital operates with complete fee transparency. Media spend is paid directly by the client to advertising platforms (Meta, Google, TikTok, LINE), ensuring 100% account ownership.</w:t>
      </w:r>
    </w:p>
    <w:tbl>
      <w:tblPr>
        <w:tblW w:type="auto" w:w="0"/>
        <w:jc w:val="center"/>
        <w:tblLook w:firstColumn="1" w:firstRow="1" w:lastColumn="0" w:lastRow="0" w:noHBand="0" w:noVBand="1" w:val="04A0"/>
      </w:tblPr>
      <w:tblGrid>
        <w:gridCol w:w="2484"/>
        <w:gridCol w:w="2484"/>
        <w:gridCol w:w="2484"/>
        <w:gridCol w:w="2484"/>
      </w:tblGrid>
      <w:tr>
        <w:tc>
          <w:tcPr>
            <w:tcW w:type="dxa" w:w="3168"/>
            <w:shd w:fill="003B2D"/>
            <w:tcMar>
              <w:top w:w="100" w:type="dxa"/>
              <w:bottom w:w="100" w:type="dxa"/>
              <w:left w:w="100" w:type="dxa"/>
              <w:right w:w="100" w:type="dxa"/>
            </w:tcMar>
          </w:tcPr>
          <w:p>
            <w:pPr>
              <w:jc w:val="center"/>
            </w:pPr>
            <w:r>
              <w:rPr>
                <w:rFonts w:ascii="Arial" w:hAnsi="Arial"/>
                <w:b/>
                <w:color w:val="FFFFFF"/>
                <w:sz w:val="19"/>
              </w:rPr>
              <w:t>Fee Item</w:t>
            </w:r>
          </w:p>
        </w:tc>
        <w:tc>
          <w:tcPr>
            <w:tcW w:type="dxa" w:w="2304"/>
            <w:shd w:fill="003B2D"/>
            <w:tcMar>
              <w:top w:w="100" w:type="dxa"/>
              <w:bottom w:w="100" w:type="dxa"/>
              <w:left w:w="100" w:type="dxa"/>
              <w:right w:w="100" w:type="dxa"/>
            </w:tcMar>
          </w:tcPr>
          <w:p>
            <w:pPr>
              <w:jc w:val="center"/>
            </w:pPr>
            <w:r>
              <w:rPr>
                <w:rFonts w:ascii="Arial" w:hAnsi="Arial"/>
                <w:b/>
                <w:color w:val="FFFFFF"/>
                <w:sz w:val="19"/>
              </w:rPr>
              <w:t>Monthly Amount (THB)</w:t>
            </w:r>
          </w:p>
        </w:tc>
        <w:tc>
          <w:tcPr>
            <w:tcW w:type="dxa" w:w="2016"/>
            <w:shd w:fill="003B2D"/>
            <w:tcMar>
              <w:top w:w="100" w:type="dxa"/>
              <w:bottom w:w="100" w:type="dxa"/>
              <w:left w:w="100" w:type="dxa"/>
              <w:right w:w="100" w:type="dxa"/>
            </w:tcMar>
          </w:tcPr>
          <w:p>
            <w:pPr>
              <w:jc w:val="center"/>
            </w:pPr>
            <w:r>
              <w:rPr>
                <w:rFonts w:ascii="Arial" w:hAnsi="Arial"/>
                <w:b/>
                <w:color w:val="FFFFFF"/>
                <w:sz w:val="19"/>
              </w:rPr>
              <w:t>Tax / VAT Terms</w:t>
            </w:r>
          </w:p>
        </w:tc>
        <w:tc>
          <w:tcPr>
            <w:tcW w:type="dxa" w:w="2592"/>
            <w:shd w:fill="003B2D"/>
            <w:tcMar>
              <w:top w:w="100" w:type="dxa"/>
              <w:bottom w:w="100" w:type="dxa"/>
              <w:left w:w="100" w:type="dxa"/>
              <w:right w:w="100" w:type="dxa"/>
            </w:tcMar>
          </w:tcPr>
          <w:p>
            <w:pPr>
              <w:jc w:val="center"/>
            </w:pPr>
            <w:r>
              <w:rPr>
                <w:rFonts w:ascii="Arial" w:hAnsi="Arial"/>
                <w:b/>
                <w:color w:val="FFFFFF"/>
                <w:sz w:val="19"/>
              </w:rPr>
              <w:t>Scope &amp; Deliverables Covered</w:t>
            </w:r>
          </w:p>
        </w:tc>
      </w:tr>
      <w:tr>
        <w:tc>
          <w:tcPr>
            <w:tcW w:type="dxa" w:w="3168"/>
            <w:shd w:fill="FFFFFF"/>
            <w:tcMar>
              <w:top w:w="80" w:type="dxa"/>
              <w:bottom w:w="80" w:type="dxa"/>
              <w:left w:w="80" w:type="dxa"/>
              <w:right w:w="80" w:type="dxa"/>
            </w:tcMar>
          </w:tcPr>
          <w:p>
            <w:pPr>
              <w:spacing w:before="40" w:after="40"/>
              <w:jc w:val="left"/>
            </w:pPr>
            <w:r>
              <w:rPr>
                <w:rFonts w:ascii="Arial" w:hAnsi="Arial"/>
                <w:color w:val="333333"/>
                <w:sz w:val="18"/>
              </w:rPr>
              <w:t>Media Ad Spend (Paid directly to platforms)</w:t>
            </w:r>
          </w:p>
        </w:tc>
        <w:tc>
          <w:tcPr>
            <w:tcW w:type="dxa" w:w="2304"/>
            <w:shd w:fill="FFFFFF"/>
            <w:tcMar>
              <w:top w:w="80" w:type="dxa"/>
              <w:bottom w:w="80" w:type="dxa"/>
              <w:left w:w="80" w:type="dxa"/>
              <w:right w:w="80" w:type="dxa"/>
            </w:tcMar>
          </w:tcPr>
          <w:p>
            <w:pPr>
              <w:spacing w:before="40" w:after="40"/>
              <w:jc w:val="center"/>
            </w:pPr>
            <w:r>
              <w:rPr>
                <w:rFonts w:ascii="Arial" w:hAnsi="Arial"/>
                <w:color w:val="333333"/>
                <w:sz w:val="18"/>
              </w:rPr>
              <w:t>THB 100,000 / month</w:t>
            </w:r>
          </w:p>
        </w:tc>
        <w:tc>
          <w:tcPr>
            <w:tcW w:type="dxa" w:w="2016"/>
            <w:shd w:fill="FFFFFF"/>
            <w:tcMar>
              <w:top w:w="80" w:type="dxa"/>
              <w:bottom w:w="80" w:type="dxa"/>
              <w:left w:w="80" w:type="dxa"/>
              <w:right w:w="80" w:type="dxa"/>
            </w:tcMar>
          </w:tcPr>
          <w:p>
            <w:pPr>
              <w:spacing w:before="40" w:after="40"/>
              <w:jc w:val="center"/>
            </w:pPr>
            <w:r>
              <w:rPr>
                <w:rFonts w:ascii="Arial" w:hAnsi="Arial"/>
                <w:color w:val="333333"/>
                <w:sz w:val="18"/>
              </w:rPr>
              <w:t>Exempt / Direct Client Billing</w:t>
            </w:r>
          </w:p>
        </w:tc>
        <w:tc>
          <w:tcPr>
            <w:tcW w:type="dxa" w:w="2592"/>
            <w:shd w:fill="FFFFFF"/>
            <w:tcMar>
              <w:top w:w="80" w:type="dxa"/>
              <w:bottom w:w="80" w:type="dxa"/>
              <w:left w:w="80" w:type="dxa"/>
              <w:right w:w="80" w:type="dxa"/>
            </w:tcMar>
          </w:tcPr>
          <w:p>
            <w:pPr>
              <w:spacing w:before="40" w:after="40"/>
              <w:jc w:val="center"/>
            </w:pPr>
            <w:r>
              <w:rPr>
                <w:rFonts w:ascii="Arial" w:hAnsi="Arial"/>
                <w:color w:val="333333"/>
                <w:sz w:val="18"/>
              </w:rPr>
              <w:t>100% platform ad credits across Meta, TikTok, LINE, Google</w:t>
            </w:r>
          </w:p>
        </w:tc>
      </w:tr>
      <w:tr>
        <w:tc>
          <w:tcPr>
            <w:tcW w:type="dxa" w:w="3168"/>
            <w:shd w:fill="F9FBFB"/>
            <w:tcMar>
              <w:top w:w="80" w:type="dxa"/>
              <w:bottom w:w="80" w:type="dxa"/>
              <w:left w:w="80" w:type="dxa"/>
              <w:right w:w="80" w:type="dxa"/>
            </w:tcMar>
          </w:tcPr>
          <w:p>
            <w:pPr>
              <w:spacing w:before="40" w:after="40"/>
              <w:jc w:val="left"/>
            </w:pPr>
            <w:r>
              <w:rPr>
                <w:rFonts w:ascii="Arial" w:hAnsi="Arial"/>
                <w:color w:val="333333"/>
                <w:sz w:val="18"/>
              </w:rPr>
              <w:t>Agency Monthly Management Fee</w:t>
            </w:r>
          </w:p>
        </w:tc>
        <w:tc>
          <w:tcPr>
            <w:tcW w:type="dxa" w:w="2304"/>
            <w:shd w:fill="F9FBFB"/>
            <w:tcMar>
              <w:top w:w="80" w:type="dxa"/>
              <w:bottom w:w="80" w:type="dxa"/>
              <w:left w:w="80" w:type="dxa"/>
              <w:right w:w="80" w:type="dxa"/>
            </w:tcMar>
          </w:tcPr>
          <w:p>
            <w:pPr>
              <w:spacing w:before="40" w:after="40"/>
              <w:jc w:val="center"/>
            </w:pPr>
            <w:r>
              <w:rPr>
                <w:rFonts w:ascii="Arial" w:hAnsi="Arial"/>
                <w:color w:val="333333"/>
                <w:sz w:val="18"/>
              </w:rPr>
              <w:t>THB 35,000 / month</w:t>
            </w:r>
          </w:p>
        </w:tc>
        <w:tc>
          <w:tcPr>
            <w:tcW w:type="dxa" w:w="2016"/>
            <w:shd w:fill="F9FBFB"/>
            <w:tcMar>
              <w:top w:w="80" w:type="dxa"/>
              <w:bottom w:w="80" w:type="dxa"/>
              <w:left w:w="80" w:type="dxa"/>
              <w:right w:w="80" w:type="dxa"/>
            </w:tcMar>
          </w:tcPr>
          <w:p>
            <w:pPr>
              <w:spacing w:before="40" w:after="40"/>
              <w:jc w:val="center"/>
            </w:pPr>
            <w:r>
              <w:rPr>
                <w:rFonts w:ascii="Arial" w:hAnsi="Arial"/>
                <w:color w:val="333333"/>
                <w:sz w:val="18"/>
              </w:rPr>
              <w:t>Excludes 7% VAT (THB 2,450)</w:t>
            </w:r>
          </w:p>
        </w:tc>
        <w:tc>
          <w:tcPr>
            <w:tcW w:type="dxa" w:w="2592"/>
            <w:shd w:fill="F9FBFB"/>
            <w:tcMar>
              <w:top w:w="80" w:type="dxa"/>
              <w:bottom w:w="80" w:type="dxa"/>
              <w:left w:w="80" w:type="dxa"/>
              <w:right w:w="80" w:type="dxa"/>
            </w:tcMar>
          </w:tcPr>
          <w:p>
            <w:pPr>
              <w:spacing w:before="40" w:after="40"/>
              <w:jc w:val="center"/>
            </w:pPr>
            <w:r>
              <w:rPr>
                <w:rFonts w:ascii="Arial" w:hAnsi="Arial"/>
                <w:color w:val="333333"/>
                <w:sz w:val="18"/>
              </w:rPr>
              <w:t>Full end-to-end strategy, setup, creative direction, daily optimization &amp; reporting</w:t>
            </w:r>
          </w:p>
        </w:tc>
      </w:tr>
      <w:tr>
        <w:tc>
          <w:tcPr>
            <w:tcW w:type="dxa" w:w="3168"/>
            <w:shd w:fill="FFFFFF"/>
            <w:tcMar>
              <w:top w:w="80" w:type="dxa"/>
              <w:bottom w:w="80" w:type="dxa"/>
              <w:left w:w="80" w:type="dxa"/>
              <w:right w:w="80" w:type="dxa"/>
            </w:tcMar>
          </w:tcPr>
          <w:p>
            <w:pPr>
              <w:spacing w:before="40" w:after="40"/>
              <w:jc w:val="left"/>
            </w:pPr>
            <w:r>
              <w:rPr>
                <w:rFonts w:ascii="Arial" w:hAnsi="Arial"/>
                <w:color w:val="333333"/>
                <w:sz w:val="18"/>
              </w:rPr>
              <w:t>Total Monthly Investment</w:t>
            </w:r>
          </w:p>
        </w:tc>
        <w:tc>
          <w:tcPr>
            <w:tcW w:type="dxa" w:w="2304"/>
            <w:shd w:fill="FFFFFF"/>
            <w:tcMar>
              <w:top w:w="80" w:type="dxa"/>
              <w:bottom w:w="80" w:type="dxa"/>
              <w:left w:w="80" w:type="dxa"/>
              <w:right w:w="80" w:type="dxa"/>
            </w:tcMar>
          </w:tcPr>
          <w:p>
            <w:pPr>
              <w:spacing w:before="40" w:after="40"/>
              <w:jc w:val="center"/>
            </w:pPr>
            <w:r>
              <w:rPr>
                <w:rFonts w:ascii="Arial" w:hAnsi="Arial"/>
                <w:color w:val="333333"/>
                <w:sz w:val="18"/>
              </w:rPr>
              <w:t>THB 135,000 / month</w:t>
            </w:r>
          </w:p>
        </w:tc>
        <w:tc>
          <w:tcPr>
            <w:tcW w:type="dxa" w:w="2016"/>
            <w:shd w:fill="FFFFFF"/>
            <w:tcMar>
              <w:top w:w="80" w:type="dxa"/>
              <w:bottom w:w="80" w:type="dxa"/>
              <w:left w:w="80" w:type="dxa"/>
              <w:right w:w="80" w:type="dxa"/>
            </w:tcMar>
          </w:tcPr>
          <w:p>
            <w:pPr>
              <w:spacing w:before="40" w:after="40"/>
              <w:jc w:val="center"/>
            </w:pPr>
            <w:r>
              <w:rPr>
                <w:rFonts w:ascii="Arial" w:hAnsi="Arial"/>
                <w:color w:val="333333"/>
                <w:sz w:val="18"/>
              </w:rPr>
              <w:t>Plus 7% VAT on Agency Fee</w:t>
            </w:r>
          </w:p>
        </w:tc>
        <w:tc>
          <w:tcPr>
            <w:tcW w:type="dxa" w:w="2592"/>
            <w:shd w:fill="FFFFFF"/>
            <w:tcMar>
              <w:top w:w="80" w:type="dxa"/>
              <w:bottom w:w="80" w:type="dxa"/>
              <w:left w:w="80" w:type="dxa"/>
              <w:right w:w="80" w:type="dxa"/>
            </w:tcMar>
          </w:tcPr>
          <w:p>
            <w:pPr>
              <w:spacing w:before="40" w:after="40"/>
              <w:jc w:val="center"/>
            </w:pPr>
            <w:r>
              <w:rPr>
                <w:rFonts w:ascii="Arial" w:hAnsi="Arial"/>
                <w:color w:val="333333"/>
                <w:sz w:val="18"/>
              </w:rPr>
              <w:t>Complete Integrated Digital Growth Partnership</w:t>
            </w:r>
          </w:p>
        </w:tc>
      </w:tr>
    </w:tbl>
    <w:p>
      <w:pPr>
        <w:spacing w:before="240" w:after="80"/>
      </w:pPr>
      <w:r>
        <w:rPr>
          <w:rFonts w:ascii="Arial" w:hAnsi="Arial"/>
          <w:b/>
          <w:color w:val="003B2D"/>
          <w:sz w:val="25"/>
        </w:rPr>
        <w:t>Scope of Agency Management Services</w:t>
      </w:r>
    </w:p>
    <w:p>
      <w:pPr>
        <w:pStyle w:val="ListBullet"/>
        <w:spacing w:before="20" w:after="60" w:line="276" w:lineRule="auto"/>
      </w:pPr>
      <w:r>
        <w:rPr>
          <w:rFonts w:ascii="Arial" w:hAnsi="Arial"/>
          <w:b/>
          <w:color w:val="222222"/>
          <w:sz w:val="20"/>
        </w:rPr>
        <w:t xml:space="preserve">1. Strategic Setup &amp; Integration: </w:t>
      </w:r>
      <w:r>
        <w:rPr>
          <w:rFonts w:ascii="Arial" w:hAnsi="Arial"/>
          <w:color w:val="333333"/>
          <w:sz w:val="20"/>
        </w:rPr>
        <w:t>Account architecture design, pixel/CAPI setup, Google Merchant Center feed integration, CPAS catalog configuration.</w:t>
      </w:r>
    </w:p>
    <w:p>
      <w:pPr>
        <w:pStyle w:val="ListBullet"/>
        <w:spacing w:before="20" w:after="60" w:line="276" w:lineRule="auto"/>
      </w:pPr>
      <w:r>
        <w:rPr>
          <w:rFonts w:ascii="Arial" w:hAnsi="Arial"/>
          <w:b/>
          <w:color w:val="222222"/>
          <w:sz w:val="20"/>
        </w:rPr>
        <w:t xml:space="preserve">2. Daily Campaign Optimization: </w:t>
      </w:r>
      <w:r>
        <w:rPr>
          <w:rFonts w:ascii="Arial" w:hAnsi="Arial"/>
          <w:color w:val="333333"/>
          <w:sz w:val="20"/>
        </w:rPr>
        <w:t>A/B testing of ad copy, visual assets, target audiences, bidding strategies, and channel budget reallocations.</w:t>
      </w:r>
    </w:p>
    <w:p>
      <w:pPr>
        <w:pStyle w:val="ListBullet"/>
        <w:spacing w:before="20" w:after="60" w:line="276" w:lineRule="auto"/>
      </w:pPr>
      <w:r>
        <w:rPr>
          <w:rFonts w:ascii="Arial" w:hAnsi="Arial"/>
          <w:b/>
          <w:color w:val="222222"/>
          <w:sz w:val="20"/>
        </w:rPr>
        <w:t xml:space="preserve">3. Creative Direction &amp; Asset Guidance: </w:t>
      </w:r>
      <w:r>
        <w:rPr>
          <w:rFonts w:ascii="Arial" w:hAnsi="Arial"/>
          <w:color w:val="333333"/>
          <w:sz w:val="20"/>
        </w:rPr>
        <w:t>Ad copy creation, visual moodboards, creative briefing for short-form video Reel/TikTok concepts.</w:t>
      </w:r>
    </w:p>
    <w:p>
      <w:pPr>
        <w:pStyle w:val="ListBullet"/>
        <w:spacing w:before="20" w:after="60" w:line="276" w:lineRule="auto"/>
      </w:pPr>
      <w:r>
        <w:rPr>
          <w:rFonts w:ascii="Arial" w:hAnsi="Arial"/>
          <w:b/>
          <w:color w:val="222222"/>
          <w:sz w:val="20"/>
        </w:rPr>
        <w:t xml:space="preserve">4. Reporting &amp; Commercial Review: </w:t>
      </w:r>
      <w:r>
        <w:rPr>
          <w:rFonts w:ascii="Arial" w:hAnsi="Arial"/>
          <w:color w:val="333333"/>
          <w:sz w:val="20"/>
        </w:rPr>
        <w:t>Transparent bi-weekly performance updates and monthly strategic review meetings with actionable commercial insights.</w:t>
      </w:r>
    </w:p>
    <w:sectPr w:rsidR="00FC693F" w:rsidRPr="0006063C" w:rsidSect="00034616">
      <w:pgSz w:w="12240" w:h="15840"/>
      <w:pgMar w:top="1152"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